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FB7100" w14:textId="77777777" w:rsidR="00256A88" w:rsidRDefault="00000000">
      <w:pPr>
        <w:pStyle w:val="1"/>
        <w:spacing w:line="240" w:lineRule="auto"/>
        <w:jc w:val="right"/>
        <w:rPr>
          <w:sz w:val="84"/>
          <w:szCs w:val="84"/>
        </w:rPr>
      </w:pPr>
      <w:r>
        <w:rPr>
          <w:rFonts w:ascii="华文新魏" w:eastAsia="华文新魏" w:hAnsi="华文新魏" w:cs="华文新魏" w:hint="eastAsia"/>
          <w:b w:val="0"/>
          <w:bCs w:val="0"/>
          <w:color w:val="C00000"/>
          <w:sz w:val="84"/>
          <w:szCs w:val="84"/>
        </w:rPr>
        <w:t>第九届湖南省研究生</w:t>
      </w:r>
      <w:r>
        <w:rPr>
          <w:rFonts w:ascii="华文行楷" w:eastAsia="华文行楷" w:hAnsi="华文行楷" w:cs="华文行楷" w:hint="eastAsia"/>
          <w:color w:val="C00000"/>
          <w:sz w:val="84"/>
          <w:szCs w:val="84"/>
        </w:rPr>
        <w:t>法律案例大赛</w:t>
      </w:r>
    </w:p>
    <w:p w14:paraId="372ADF46" w14:textId="77777777" w:rsidR="00256A88" w:rsidRDefault="00000000">
      <w:pPr>
        <w:jc w:val="right"/>
        <w:rPr>
          <w:rFonts w:ascii="华文中宋" w:eastAsia="华文中宋" w:hAnsi="华文中宋" w:cs="华文中宋" w:hint="eastAsia"/>
          <w:color w:val="C00000"/>
          <w:kern w:val="44"/>
          <w:sz w:val="72"/>
          <w:szCs w:val="72"/>
        </w:rPr>
      </w:pPr>
      <w:r>
        <w:rPr>
          <w:rFonts w:hint="eastAsia"/>
          <w:noProof/>
        </w:rPr>
        <w:drawing>
          <wp:anchor distT="0" distB="0" distL="114300" distR="114300" simplePos="0" relativeHeight="251659264" behindDoc="0" locked="0" layoutInCell="1" allowOverlap="1" wp14:anchorId="2CBFEF18" wp14:editId="5A442809">
            <wp:simplePos x="0" y="0"/>
            <wp:positionH relativeFrom="column">
              <wp:posOffset>213360</wp:posOffset>
            </wp:positionH>
            <wp:positionV relativeFrom="page">
              <wp:posOffset>3063875</wp:posOffset>
            </wp:positionV>
            <wp:extent cx="5119370" cy="3873500"/>
            <wp:effectExtent l="0" t="0" r="8255" b="1905"/>
            <wp:wrapTopAndBottom/>
            <wp:docPr id="2" name="图片 2" descr="7b0a202020202266696c746572223a202230220a7d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7b0a202020202266696c746572223a202230220a7d0a"/>
                    <pic:cNvPicPr>
                      <a:picLocks noChangeAspect="1"/>
                    </pic:cNvPicPr>
                  </pic:nvPicPr>
                  <pic:blipFill>
                    <a:blip r:embed="rId7">
                      <a:extLst>
                        <a:ext uri="{CDFE0825-6DEF-4EF5-8246-60DE8C826C90}">
                          <a14:imgProps xmlns:a14="http://schemas.microsoft.com/office/drawing/2010/main" xmlns:wpsCustomData="http://www.wps.cn/officeDocument/2013/wpsCustomData" xmlns:w10="urn:schemas-microsoft-com:office:word" xmlns:w="http://schemas.openxmlformats.org/wordprocessingml/2006/main" xmlns:v="urn:schemas-microsoft-com:vml" xmlns:o="urn:schemas-microsoft-com:office:office" xmlns="">
                            <a14:imgLayer r:embed="rId8">
                              <a14:imgEffect name="7"/>
                            </a14:imgLayer>
                          </a14:imgProps>
                        </a:ext>
                      </a:extLst>
                    </a:blip>
                    <a:srcRect t="13943"/>
                    <a:stretch>
                      <a:fillRect/>
                    </a:stretch>
                  </pic:blipFill>
                  <pic:spPr>
                    <a:xfrm>
                      <a:off x="0" y="0"/>
                      <a:ext cx="5119370" cy="3873500"/>
                    </a:xfrm>
                    <a:prstGeom prst="rect">
                      <a:avLst/>
                    </a:prstGeom>
                  </pic:spPr>
                </pic:pic>
              </a:graphicData>
            </a:graphic>
          </wp:anchor>
        </w:drawing>
      </w:r>
      <w:r>
        <w:rPr>
          <w:rFonts w:ascii="华文中宋" w:eastAsia="华文中宋" w:hAnsi="华文中宋" w:cs="华文中宋" w:hint="eastAsia"/>
          <w:b/>
          <w:bCs/>
          <w:color w:val="C00000"/>
          <w:kern w:val="44"/>
          <w:sz w:val="52"/>
          <w:szCs w:val="52"/>
        </w:rPr>
        <w:t>赛事手册</w:t>
      </w:r>
    </w:p>
    <w:p w14:paraId="02C444D8" w14:textId="77777777" w:rsidR="00256A88" w:rsidRDefault="00000000">
      <w:pPr>
        <w:jc w:val="center"/>
        <w:rPr>
          <w:rFonts w:ascii="华文中宋" w:eastAsia="华文中宋" w:hAnsi="华文中宋" w:cs="华文中宋" w:hint="eastAsia"/>
          <w:color w:val="000000" w:themeColor="text1"/>
          <w:kern w:val="44"/>
          <w:sz w:val="36"/>
          <w:szCs w:val="36"/>
        </w:rPr>
      </w:pPr>
      <w:r>
        <w:rPr>
          <w:rFonts w:ascii="华文中宋" w:eastAsia="华文中宋" w:hAnsi="华文中宋" w:cs="华文中宋" w:hint="eastAsia"/>
          <w:color w:val="000000" w:themeColor="text1"/>
          <w:kern w:val="44"/>
          <w:sz w:val="36"/>
          <w:szCs w:val="36"/>
        </w:rPr>
        <w:t>主办单位：湖南省教育厅</w:t>
      </w:r>
    </w:p>
    <w:p w14:paraId="3E91BFBA" w14:textId="77777777" w:rsidR="00256A88" w:rsidRDefault="00000000">
      <w:pPr>
        <w:jc w:val="center"/>
        <w:rPr>
          <w:rFonts w:ascii="华文中宋" w:eastAsia="华文中宋" w:hAnsi="华文中宋" w:cs="华文中宋" w:hint="eastAsia"/>
          <w:color w:val="000000" w:themeColor="text1"/>
          <w:kern w:val="44"/>
          <w:sz w:val="36"/>
          <w:szCs w:val="36"/>
        </w:rPr>
      </w:pPr>
      <w:r>
        <w:rPr>
          <w:rFonts w:ascii="华文中宋" w:eastAsia="华文中宋" w:hAnsi="华文中宋" w:cs="华文中宋" w:hint="eastAsia"/>
          <w:color w:val="000000" w:themeColor="text1"/>
          <w:kern w:val="44"/>
          <w:sz w:val="36"/>
          <w:szCs w:val="36"/>
        </w:rPr>
        <w:t>承办单位：湖南师范大学</w:t>
      </w:r>
    </w:p>
    <w:p w14:paraId="78751152" w14:textId="77777777" w:rsidR="00256A88" w:rsidRDefault="00000000">
      <w:pPr>
        <w:jc w:val="center"/>
        <w:rPr>
          <w:rFonts w:ascii="华文中宋" w:eastAsia="华文中宋" w:hAnsi="华文中宋" w:cs="华文中宋" w:hint="eastAsia"/>
          <w:color w:val="000000" w:themeColor="text1"/>
          <w:kern w:val="44"/>
          <w:sz w:val="36"/>
          <w:szCs w:val="36"/>
        </w:rPr>
      </w:pPr>
      <w:r>
        <w:rPr>
          <w:rFonts w:ascii="华文中宋" w:eastAsia="华文中宋" w:hAnsi="华文中宋" w:cs="华文中宋" w:hint="eastAsia"/>
          <w:color w:val="000000" w:themeColor="text1"/>
          <w:kern w:val="44"/>
          <w:sz w:val="36"/>
          <w:szCs w:val="36"/>
        </w:rPr>
        <w:t xml:space="preserve">      协办单位：湖南师范大学法学院</w:t>
      </w:r>
    </w:p>
    <w:p w14:paraId="3E2663F6" w14:textId="77777777" w:rsidR="00256A88" w:rsidRDefault="00000000">
      <w:pPr>
        <w:jc w:val="center"/>
        <w:rPr>
          <w:rFonts w:ascii="华文中宋" w:eastAsia="华文中宋" w:hAnsi="华文中宋" w:cs="华文中宋" w:hint="eastAsia"/>
          <w:color w:val="C00000"/>
          <w:kern w:val="44"/>
          <w:sz w:val="36"/>
          <w:szCs w:val="36"/>
        </w:rPr>
      </w:pPr>
      <w:r>
        <w:rPr>
          <w:rFonts w:ascii="华文中宋" w:eastAsia="华文中宋" w:hAnsi="华文中宋" w:cs="华文中宋" w:hint="eastAsia"/>
          <w:color w:val="C00000"/>
          <w:kern w:val="44"/>
          <w:sz w:val="36"/>
          <w:szCs w:val="36"/>
        </w:rPr>
        <w:t xml:space="preserve">     湖南·长沙    2025年11月</w:t>
      </w:r>
    </w:p>
    <w:p w14:paraId="61D5A0DE" w14:textId="77777777" w:rsidR="00256A88" w:rsidRDefault="00000000">
      <w:pPr>
        <w:pStyle w:val="1"/>
        <w:spacing w:line="360" w:lineRule="auto"/>
        <w:jc w:val="center"/>
      </w:pPr>
      <w:r>
        <w:rPr>
          <w:rFonts w:hint="eastAsia"/>
        </w:rPr>
        <w:lastRenderedPageBreak/>
        <w:t>第九届湖南省</w:t>
      </w:r>
      <w:r>
        <w:t>研究生法律案例大赛</w:t>
      </w:r>
    </w:p>
    <w:p w14:paraId="5B894FF2" w14:textId="77777777" w:rsidR="00256A88" w:rsidRDefault="00000000">
      <w:pPr>
        <w:pStyle w:val="1"/>
        <w:spacing w:line="360" w:lineRule="auto"/>
        <w:jc w:val="center"/>
      </w:pPr>
      <w:r>
        <w:rPr>
          <w:rFonts w:hint="eastAsia"/>
        </w:rPr>
        <w:t>赛事手册</w:t>
      </w:r>
    </w:p>
    <w:p w14:paraId="3DCCD4F3" w14:textId="77777777" w:rsidR="00256A88" w:rsidRDefault="00000000">
      <w:pPr>
        <w:spacing w:line="360" w:lineRule="auto"/>
        <w:rPr>
          <w:rFonts w:ascii="Times New Roman" w:eastAsia="宋体" w:hAnsi="Times New Roman" w:cs="Times New Roman"/>
          <w:b/>
          <w:bCs/>
          <w:sz w:val="28"/>
          <w:szCs w:val="28"/>
        </w:rPr>
      </w:pPr>
      <w:r>
        <w:rPr>
          <w:rFonts w:ascii="Times New Roman" w:eastAsia="宋体" w:hAnsi="Times New Roman" w:cs="Times New Roman"/>
          <w:b/>
          <w:bCs/>
          <w:sz w:val="28"/>
          <w:szCs w:val="28"/>
        </w:rPr>
        <w:t>一、大赛简介</w:t>
      </w:r>
    </w:p>
    <w:p w14:paraId="7612468A"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为深入贯彻习近平法治思想</w:t>
      </w:r>
      <w:r>
        <w:rPr>
          <w:rFonts w:ascii="Times New Roman" w:eastAsia="宋体" w:hAnsi="Times New Roman" w:cs="Times New Roman" w:hint="eastAsia"/>
          <w:sz w:val="24"/>
        </w:rPr>
        <w:t>，</w:t>
      </w:r>
      <w:r>
        <w:rPr>
          <w:rFonts w:ascii="Times New Roman" w:eastAsia="宋体" w:hAnsi="Times New Roman" w:cs="Times New Roman"/>
          <w:sz w:val="24"/>
        </w:rPr>
        <w:t>落实全面依法治国战略需求</w:t>
      </w:r>
      <w:r>
        <w:rPr>
          <w:rFonts w:ascii="Times New Roman" w:eastAsia="宋体" w:hAnsi="Times New Roman" w:cs="Times New Roman" w:hint="eastAsia"/>
          <w:sz w:val="24"/>
        </w:rPr>
        <w:t>，</w:t>
      </w:r>
      <w:r>
        <w:rPr>
          <w:rFonts w:ascii="Times New Roman" w:eastAsia="宋体" w:hAnsi="Times New Roman" w:cs="Times New Roman"/>
          <w:sz w:val="24"/>
        </w:rPr>
        <w:t>响应教育部</w:t>
      </w:r>
      <w:r>
        <w:rPr>
          <w:rFonts w:ascii="Times New Roman" w:eastAsia="宋体" w:hAnsi="Times New Roman" w:cs="Times New Roman" w:hint="eastAsia"/>
          <w:sz w:val="24"/>
        </w:rPr>
        <w:t>“</w:t>
      </w:r>
      <w:r>
        <w:rPr>
          <w:rFonts w:ascii="Times New Roman" w:eastAsia="宋体" w:hAnsi="Times New Roman" w:cs="Times New Roman"/>
          <w:sz w:val="24"/>
        </w:rPr>
        <w:t>新文科</w:t>
      </w:r>
      <w:r>
        <w:rPr>
          <w:rFonts w:ascii="Times New Roman" w:eastAsia="宋体" w:hAnsi="Times New Roman" w:cs="Times New Roman" w:hint="eastAsia"/>
          <w:sz w:val="24"/>
        </w:rPr>
        <w:t>”</w:t>
      </w:r>
      <w:r>
        <w:rPr>
          <w:rFonts w:ascii="Times New Roman" w:eastAsia="宋体" w:hAnsi="Times New Roman" w:cs="Times New Roman"/>
          <w:sz w:val="24"/>
        </w:rPr>
        <w:t>建设要求</w:t>
      </w:r>
      <w:r>
        <w:rPr>
          <w:rFonts w:ascii="Times New Roman" w:eastAsia="宋体" w:hAnsi="Times New Roman" w:cs="Times New Roman" w:hint="eastAsia"/>
          <w:sz w:val="24"/>
        </w:rPr>
        <w:t>，</w:t>
      </w:r>
      <w:r>
        <w:rPr>
          <w:rFonts w:ascii="Times New Roman" w:eastAsia="宋体" w:hAnsi="Times New Roman" w:cs="Times New Roman"/>
          <w:sz w:val="24"/>
        </w:rPr>
        <w:t>服务湖南省</w:t>
      </w:r>
      <w:r>
        <w:rPr>
          <w:rFonts w:ascii="Times New Roman" w:eastAsia="宋体" w:hAnsi="Times New Roman" w:cs="Times New Roman" w:hint="eastAsia"/>
          <w:sz w:val="24"/>
        </w:rPr>
        <w:t>“</w:t>
      </w:r>
      <w:r>
        <w:rPr>
          <w:rFonts w:ascii="Times New Roman" w:eastAsia="宋体" w:hAnsi="Times New Roman" w:cs="Times New Roman"/>
          <w:sz w:val="24"/>
        </w:rPr>
        <w:t>三高四新</w:t>
      </w:r>
      <w:r>
        <w:rPr>
          <w:rFonts w:ascii="Times New Roman" w:eastAsia="宋体" w:hAnsi="Times New Roman" w:cs="Times New Roman" w:hint="eastAsia"/>
          <w:sz w:val="24"/>
        </w:rPr>
        <w:t>”</w:t>
      </w:r>
      <w:r>
        <w:rPr>
          <w:rFonts w:ascii="Times New Roman" w:eastAsia="宋体" w:hAnsi="Times New Roman" w:cs="Times New Roman"/>
          <w:sz w:val="24"/>
        </w:rPr>
        <w:t>战略</w:t>
      </w:r>
      <w:r>
        <w:rPr>
          <w:rFonts w:ascii="Times New Roman" w:eastAsia="宋体" w:hAnsi="Times New Roman" w:cs="Times New Roman" w:hint="eastAsia"/>
          <w:sz w:val="24"/>
        </w:rPr>
        <w:t>，</w:t>
      </w:r>
      <w:r>
        <w:rPr>
          <w:rFonts w:ascii="Times New Roman" w:eastAsia="宋体" w:hAnsi="Times New Roman" w:cs="Times New Roman"/>
          <w:sz w:val="24"/>
        </w:rPr>
        <w:t>搭建高水平法学实践平台</w:t>
      </w:r>
      <w:r>
        <w:rPr>
          <w:rFonts w:ascii="Times New Roman" w:eastAsia="宋体" w:hAnsi="Times New Roman" w:cs="Times New Roman" w:hint="eastAsia"/>
          <w:sz w:val="24"/>
        </w:rPr>
        <w:t>，</w:t>
      </w:r>
      <w:r>
        <w:rPr>
          <w:rFonts w:ascii="Times New Roman" w:eastAsia="宋体" w:hAnsi="Times New Roman" w:cs="Times New Roman"/>
          <w:sz w:val="24"/>
        </w:rPr>
        <w:t>提升研究生运用法律思维解决实际问题的能力</w:t>
      </w:r>
      <w:r>
        <w:rPr>
          <w:rFonts w:ascii="Times New Roman" w:eastAsia="宋体" w:hAnsi="Times New Roman" w:cs="Times New Roman" w:hint="eastAsia"/>
          <w:sz w:val="24"/>
        </w:rPr>
        <w:t>，</w:t>
      </w:r>
      <w:r>
        <w:rPr>
          <w:rFonts w:ascii="Times New Roman" w:eastAsia="宋体" w:hAnsi="Times New Roman" w:cs="Times New Roman"/>
          <w:sz w:val="24"/>
        </w:rPr>
        <w:t>推动省内高校法学教育交流与协同创新</w:t>
      </w:r>
      <w:r>
        <w:rPr>
          <w:rFonts w:ascii="Times New Roman" w:eastAsia="宋体" w:hAnsi="Times New Roman" w:cs="Times New Roman" w:hint="eastAsia"/>
          <w:sz w:val="24"/>
        </w:rPr>
        <w:t>。经省教育厅同意，</w:t>
      </w:r>
      <w:r>
        <w:rPr>
          <w:rFonts w:ascii="Times New Roman" w:eastAsia="宋体" w:hAnsi="Times New Roman" w:cs="Times New Roman"/>
          <w:sz w:val="24"/>
        </w:rPr>
        <w:t>决定举办</w:t>
      </w:r>
      <w:r>
        <w:rPr>
          <w:rFonts w:ascii="Times New Roman" w:eastAsia="宋体" w:hAnsi="Times New Roman" w:cs="Times New Roman" w:hint="eastAsia"/>
          <w:sz w:val="24"/>
        </w:rPr>
        <w:t>第九届湖南省</w:t>
      </w:r>
      <w:r>
        <w:rPr>
          <w:rFonts w:ascii="Times New Roman" w:eastAsia="宋体" w:hAnsi="Times New Roman" w:cs="Times New Roman"/>
          <w:sz w:val="24"/>
        </w:rPr>
        <w:t>研究生法律案例大赛</w:t>
      </w:r>
      <w:r>
        <w:rPr>
          <w:rFonts w:ascii="Times New Roman" w:eastAsia="宋体" w:hAnsi="Times New Roman" w:cs="Times New Roman" w:hint="eastAsia"/>
          <w:sz w:val="24"/>
        </w:rPr>
        <w:t>。</w:t>
      </w:r>
      <w:r>
        <w:rPr>
          <w:rFonts w:ascii="Times New Roman" w:eastAsia="宋体" w:hAnsi="Times New Roman" w:cs="Times New Roman"/>
          <w:sz w:val="24"/>
        </w:rPr>
        <w:t>大赛以</w:t>
      </w:r>
      <w:r>
        <w:rPr>
          <w:rFonts w:ascii="Times New Roman" w:eastAsia="宋体" w:hAnsi="Times New Roman" w:cs="Times New Roman" w:hint="eastAsia"/>
          <w:sz w:val="24"/>
        </w:rPr>
        <w:t>“</w:t>
      </w:r>
      <w:r>
        <w:rPr>
          <w:rFonts w:ascii="Times New Roman" w:eastAsia="宋体" w:hAnsi="Times New Roman" w:cs="Times New Roman"/>
          <w:sz w:val="24"/>
        </w:rPr>
        <w:t>理论与实务融合、学术与实践共生</w:t>
      </w:r>
      <w:r>
        <w:rPr>
          <w:rFonts w:ascii="Times New Roman" w:eastAsia="宋体" w:hAnsi="Times New Roman" w:cs="Times New Roman" w:hint="eastAsia"/>
          <w:sz w:val="24"/>
        </w:rPr>
        <w:t>”</w:t>
      </w:r>
      <w:r>
        <w:rPr>
          <w:rFonts w:ascii="Times New Roman" w:eastAsia="宋体" w:hAnsi="Times New Roman" w:cs="Times New Roman"/>
          <w:sz w:val="24"/>
        </w:rPr>
        <w:t>为核心理念，通过模拟真实法律场景</w:t>
      </w:r>
      <w:r>
        <w:rPr>
          <w:rFonts w:ascii="Times New Roman" w:eastAsia="宋体" w:hAnsi="Times New Roman" w:cs="Times New Roman" w:hint="eastAsia"/>
          <w:sz w:val="24"/>
        </w:rPr>
        <w:t>，</w:t>
      </w:r>
      <w:r>
        <w:rPr>
          <w:rFonts w:ascii="Times New Roman" w:eastAsia="宋体" w:hAnsi="Times New Roman" w:cs="Times New Roman"/>
          <w:sz w:val="24"/>
        </w:rPr>
        <w:t>强化研究生法律文书写作</w:t>
      </w:r>
      <w:r>
        <w:rPr>
          <w:rFonts w:ascii="Times New Roman" w:eastAsia="宋体" w:hAnsi="Times New Roman" w:cs="Times New Roman" w:hint="eastAsia"/>
          <w:sz w:val="24"/>
        </w:rPr>
        <w:t>、</w:t>
      </w:r>
      <w:r>
        <w:rPr>
          <w:rFonts w:ascii="Times New Roman" w:eastAsia="宋体" w:hAnsi="Times New Roman" w:cs="Times New Roman"/>
          <w:sz w:val="24"/>
        </w:rPr>
        <w:t>庭审辩论</w:t>
      </w:r>
      <w:r>
        <w:rPr>
          <w:rFonts w:ascii="Times New Roman" w:eastAsia="宋体" w:hAnsi="Times New Roman" w:cs="Times New Roman" w:hint="eastAsia"/>
          <w:sz w:val="24"/>
        </w:rPr>
        <w:t>、</w:t>
      </w:r>
      <w:r>
        <w:rPr>
          <w:rFonts w:ascii="Times New Roman" w:eastAsia="宋体" w:hAnsi="Times New Roman" w:cs="Times New Roman"/>
          <w:sz w:val="24"/>
        </w:rPr>
        <w:t>案例分析等实务技能</w:t>
      </w:r>
      <w:r>
        <w:rPr>
          <w:rFonts w:ascii="Times New Roman" w:eastAsia="宋体" w:hAnsi="Times New Roman" w:cs="Times New Roman" w:hint="eastAsia"/>
          <w:sz w:val="24"/>
        </w:rPr>
        <w:t>，</w:t>
      </w:r>
      <w:r>
        <w:rPr>
          <w:rFonts w:ascii="Times New Roman" w:eastAsia="宋体" w:hAnsi="Times New Roman" w:cs="Times New Roman"/>
          <w:sz w:val="24"/>
        </w:rPr>
        <w:t>培养兼具理论深度与实践智慧的复合型法治人才</w:t>
      </w:r>
      <w:r>
        <w:rPr>
          <w:rFonts w:ascii="Times New Roman" w:eastAsia="宋体" w:hAnsi="Times New Roman" w:cs="Times New Roman" w:hint="eastAsia"/>
          <w:sz w:val="24"/>
        </w:rPr>
        <w:t>。</w:t>
      </w:r>
      <w:r>
        <w:rPr>
          <w:rFonts w:ascii="Times New Roman" w:eastAsia="宋体" w:hAnsi="Times New Roman" w:cs="Times New Roman"/>
          <w:sz w:val="24"/>
        </w:rPr>
        <w:t>参赛单位为湖南省内具有全日制法学硕士和法律硕士研究生招生资格的高等院校</w:t>
      </w:r>
      <w:r>
        <w:rPr>
          <w:rFonts w:ascii="Times New Roman" w:eastAsia="宋体" w:hAnsi="Times New Roman" w:cs="Times New Roman" w:hint="eastAsia"/>
          <w:sz w:val="24"/>
        </w:rPr>
        <w:t>。第九届湖南省</w:t>
      </w:r>
      <w:r>
        <w:rPr>
          <w:rFonts w:ascii="Times New Roman" w:eastAsia="宋体" w:hAnsi="Times New Roman" w:cs="Times New Roman"/>
          <w:sz w:val="24"/>
        </w:rPr>
        <w:t>研究生法律案例大赛由湖南省教育厅主办</w:t>
      </w:r>
      <w:r>
        <w:rPr>
          <w:rFonts w:ascii="Times New Roman" w:eastAsia="宋体" w:hAnsi="Times New Roman" w:cs="Times New Roman" w:hint="eastAsia"/>
          <w:sz w:val="24"/>
        </w:rPr>
        <w:t>，</w:t>
      </w:r>
      <w:r>
        <w:rPr>
          <w:rFonts w:ascii="Times New Roman" w:eastAsia="宋体" w:hAnsi="Times New Roman" w:cs="Times New Roman"/>
          <w:sz w:val="24"/>
        </w:rPr>
        <w:t>湖南师范大学承办</w:t>
      </w:r>
      <w:r>
        <w:rPr>
          <w:rFonts w:ascii="Times New Roman" w:eastAsia="宋体" w:hAnsi="Times New Roman" w:cs="Times New Roman" w:hint="eastAsia"/>
          <w:sz w:val="24"/>
        </w:rPr>
        <w:t>，</w:t>
      </w:r>
      <w:r>
        <w:rPr>
          <w:rFonts w:ascii="Times New Roman" w:eastAsia="宋体" w:hAnsi="Times New Roman" w:cs="Times New Roman"/>
          <w:sz w:val="24"/>
        </w:rPr>
        <w:t>湖南师范大学法学院协办</w:t>
      </w:r>
      <w:r>
        <w:rPr>
          <w:rFonts w:ascii="Times New Roman" w:eastAsia="宋体" w:hAnsi="Times New Roman" w:cs="Times New Roman" w:hint="eastAsia"/>
          <w:sz w:val="24"/>
        </w:rPr>
        <w:t>，</w:t>
      </w:r>
      <w:r>
        <w:rPr>
          <w:rFonts w:ascii="Times New Roman" w:eastAsia="宋体" w:hAnsi="Times New Roman" w:cs="Times New Roman"/>
          <w:sz w:val="24"/>
        </w:rPr>
        <w:t>大赛组委会办公室设在</w:t>
      </w:r>
      <w:r>
        <w:rPr>
          <w:rFonts w:ascii="Times New Roman" w:eastAsia="宋体" w:hAnsi="Times New Roman" w:cs="Times New Roman" w:hint="eastAsia"/>
          <w:sz w:val="24"/>
        </w:rPr>
        <w:t>湖南师范大学本部（二里半校区）</w:t>
      </w: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景德楼。</w:t>
      </w:r>
    </w:p>
    <w:p w14:paraId="36291B49" w14:textId="77777777" w:rsidR="00256A88" w:rsidRDefault="00000000">
      <w:pPr>
        <w:spacing w:line="360" w:lineRule="auto"/>
        <w:rPr>
          <w:rFonts w:ascii="Times New Roman" w:eastAsia="宋体" w:hAnsi="Times New Roman" w:cs="Times New Roman"/>
          <w:b/>
          <w:bCs/>
          <w:sz w:val="28"/>
          <w:szCs w:val="28"/>
        </w:rPr>
      </w:pPr>
      <w:r>
        <w:rPr>
          <w:rFonts w:ascii="Times New Roman" w:eastAsia="宋体" w:hAnsi="Times New Roman" w:cs="Times New Roman" w:hint="eastAsia"/>
          <w:b/>
          <w:bCs/>
          <w:sz w:val="28"/>
          <w:szCs w:val="28"/>
        </w:rPr>
        <w:t>二、组织机构</w:t>
      </w:r>
    </w:p>
    <w:p w14:paraId="6208A2CC" w14:textId="77777777" w:rsidR="00256A88" w:rsidRDefault="00000000">
      <w:pPr>
        <w:spacing w:line="360" w:lineRule="auto"/>
        <w:ind w:firstLineChars="200" w:firstLine="482"/>
        <w:rPr>
          <w:rFonts w:ascii="Times New Roman" w:eastAsia="宋体" w:hAnsi="Times New Roman" w:cs="Times New Roman"/>
          <w:b/>
          <w:bCs/>
          <w:sz w:val="24"/>
        </w:rPr>
      </w:pPr>
      <w:r>
        <w:rPr>
          <w:rFonts w:ascii="Times New Roman" w:eastAsia="宋体" w:hAnsi="Times New Roman" w:cs="Times New Roman" w:hint="eastAsia"/>
          <w:b/>
          <w:bCs/>
          <w:sz w:val="24"/>
        </w:rPr>
        <w:t>（一）</w:t>
      </w:r>
      <w:r>
        <w:rPr>
          <w:rFonts w:ascii="Times New Roman" w:eastAsia="宋体" w:hAnsi="Times New Roman" w:cs="Times New Roman"/>
          <w:b/>
          <w:bCs/>
          <w:sz w:val="24"/>
        </w:rPr>
        <w:t>组委会</w:t>
      </w:r>
    </w:p>
    <w:p w14:paraId="005A5FCE"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组委会是大赛的决策机构</w:t>
      </w:r>
      <w:r>
        <w:rPr>
          <w:rFonts w:ascii="Times New Roman" w:eastAsia="宋体" w:hAnsi="Times New Roman" w:cs="Times New Roman" w:hint="eastAsia"/>
          <w:sz w:val="24"/>
        </w:rPr>
        <w:t>，</w:t>
      </w:r>
      <w:r>
        <w:rPr>
          <w:rFonts w:ascii="Times New Roman" w:eastAsia="宋体" w:hAnsi="Times New Roman" w:cs="Times New Roman"/>
          <w:sz w:val="24"/>
        </w:rPr>
        <w:t>由湖南省教育厅以及具有法学专业研究生招生资格的高等院校的领导和专家组成</w:t>
      </w:r>
      <w:r>
        <w:rPr>
          <w:rFonts w:ascii="Times New Roman" w:eastAsia="宋体" w:hAnsi="Times New Roman" w:cs="Times New Roman" w:hint="eastAsia"/>
          <w:sz w:val="24"/>
        </w:rPr>
        <w:t>。</w:t>
      </w:r>
      <w:r>
        <w:rPr>
          <w:rFonts w:ascii="Times New Roman" w:eastAsia="宋体" w:hAnsi="Times New Roman" w:cs="Times New Roman"/>
          <w:sz w:val="24"/>
        </w:rPr>
        <w:t>组委会会议以协商一致的方式决定相关事务</w:t>
      </w:r>
      <w:r>
        <w:rPr>
          <w:rFonts w:ascii="Times New Roman" w:eastAsia="宋体" w:hAnsi="Times New Roman" w:cs="Times New Roman" w:hint="eastAsia"/>
          <w:sz w:val="24"/>
        </w:rPr>
        <w:t>，</w:t>
      </w:r>
      <w:r>
        <w:rPr>
          <w:rFonts w:ascii="Times New Roman" w:eastAsia="宋体" w:hAnsi="Times New Roman" w:cs="Times New Roman"/>
          <w:sz w:val="24"/>
        </w:rPr>
        <w:t>行使以下职权：</w:t>
      </w:r>
    </w:p>
    <w:p w14:paraId="261A0055"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1.</w:t>
      </w:r>
      <w:r>
        <w:rPr>
          <w:rFonts w:ascii="Times New Roman" w:eastAsia="宋体" w:hAnsi="Times New Roman" w:cs="Times New Roman"/>
          <w:sz w:val="24"/>
        </w:rPr>
        <w:t>审议和修改大赛规则，保障比赛期间比赛章程、规定的正确执行；</w:t>
      </w:r>
    </w:p>
    <w:p w14:paraId="4E8B93F2"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2.</w:t>
      </w:r>
      <w:r>
        <w:rPr>
          <w:rFonts w:ascii="Times New Roman" w:eastAsia="宋体" w:hAnsi="Times New Roman" w:cs="Times New Roman"/>
          <w:sz w:val="24"/>
        </w:rPr>
        <w:t>决定专家委员会的组成；</w:t>
      </w:r>
    </w:p>
    <w:p w14:paraId="5BB795AF"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3.</w:t>
      </w:r>
      <w:r>
        <w:rPr>
          <w:rFonts w:ascii="Times New Roman" w:eastAsia="宋体" w:hAnsi="Times New Roman" w:cs="Times New Roman"/>
          <w:sz w:val="24"/>
        </w:rPr>
        <w:t>决定秘书处的组成；</w:t>
      </w:r>
    </w:p>
    <w:p w14:paraId="2CF6548F"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4.</w:t>
      </w:r>
      <w:r>
        <w:rPr>
          <w:rFonts w:ascii="Times New Roman" w:eastAsia="宋体" w:hAnsi="Times New Roman" w:cs="Times New Roman"/>
          <w:sz w:val="24"/>
        </w:rPr>
        <w:t>审定大赛获奖名单；</w:t>
      </w:r>
    </w:p>
    <w:p w14:paraId="0116C0B4"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5.</w:t>
      </w:r>
      <w:r>
        <w:rPr>
          <w:rFonts w:ascii="Times New Roman" w:eastAsia="宋体" w:hAnsi="Times New Roman" w:cs="Times New Roman"/>
          <w:sz w:val="24"/>
        </w:rPr>
        <w:t>处理比赛过程中出现的有关争议；</w:t>
      </w:r>
    </w:p>
    <w:p w14:paraId="60EB6931"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6.</w:t>
      </w:r>
      <w:r>
        <w:rPr>
          <w:rFonts w:ascii="Times New Roman" w:eastAsia="宋体" w:hAnsi="Times New Roman" w:cs="Times New Roman"/>
          <w:sz w:val="24"/>
        </w:rPr>
        <w:t>根据大赛规则对相关违规行为进行处罚；</w:t>
      </w:r>
    </w:p>
    <w:p w14:paraId="422F78A9"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7.</w:t>
      </w:r>
      <w:r>
        <w:rPr>
          <w:rFonts w:ascii="Times New Roman" w:eastAsia="宋体" w:hAnsi="Times New Roman" w:cs="Times New Roman"/>
          <w:sz w:val="24"/>
        </w:rPr>
        <w:t>确定应由组委会决议的其他事项。</w:t>
      </w:r>
    </w:p>
    <w:p w14:paraId="3234B400" w14:textId="77777777" w:rsidR="00256A88" w:rsidRDefault="00000000">
      <w:pPr>
        <w:spacing w:line="360" w:lineRule="auto"/>
        <w:ind w:firstLineChars="200" w:firstLine="482"/>
        <w:rPr>
          <w:rFonts w:ascii="Times New Roman" w:eastAsia="宋体" w:hAnsi="Times New Roman" w:cs="Times New Roman"/>
          <w:b/>
          <w:bCs/>
          <w:sz w:val="24"/>
        </w:rPr>
      </w:pPr>
      <w:r>
        <w:rPr>
          <w:rFonts w:ascii="Times New Roman" w:eastAsia="宋体" w:hAnsi="Times New Roman" w:cs="Times New Roman" w:hint="eastAsia"/>
          <w:b/>
          <w:bCs/>
          <w:sz w:val="24"/>
        </w:rPr>
        <w:t>（二）</w:t>
      </w:r>
      <w:r>
        <w:rPr>
          <w:rFonts w:ascii="Times New Roman" w:eastAsia="宋体" w:hAnsi="Times New Roman" w:cs="Times New Roman"/>
          <w:b/>
          <w:bCs/>
          <w:sz w:val="24"/>
        </w:rPr>
        <w:t>专家委员会</w:t>
      </w:r>
    </w:p>
    <w:p w14:paraId="2AEA3E37"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lastRenderedPageBreak/>
        <w:t>专家委员会由具有法学专业研究生招生资格的高等院校的学者以及司法机关、律师事务所的司法实务专家组成，行使以下职权：</w:t>
      </w:r>
    </w:p>
    <w:p w14:paraId="77619221"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1.</w:t>
      </w:r>
      <w:r>
        <w:rPr>
          <w:rFonts w:ascii="Times New Roman" w:eastAsia="宋体" w:hAnsi="Times New Roman" w:cs="Times New Roman"/>
          <w:sz w:val="24"/>
        </w:rPr>
        <w:t>决定命题工作小组的人员设置及其基本职责；</w:t>
      </w:r>
    </w:p>
    <w:p w14:paraId="752FE722"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2.</w:t>
      </w:r>
      <w:r>
        <w:rPr>
          <w:rFonts w:ascii="Times New Roman" w:eastAsia="宋体" w:hAnsi="Times New Roman" w:cs="Times New Roman"/>
          <w:sz w:val="24"/>
        </w:rPr>
        <w:t>解释大赛规则；</w:t>
      </w:r>
    </w:p>
    <w:p w14:paraId="49C2F9F6"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3.</w:t>
      </w:r>
      <w:r>
        <w:rPr>
          <w:rFonts w:ascii="Times New Roman" w:eastAsia="宋体" w:hAnsi="Times New Roman" w:cs="Times New Roman"/>
          <w:sz w:val="24"/>
        </w:rPr>
        <w:t>评定大赛成绩，拟定获奖名单及其获奖等级；</w:t>
      </w:r>
    </w:p>
    <w:p w14:paraId="57FC40E3"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4.</w:t>
      </w:r>
      <w:r>
        <w:rPr>
          <w:rFonts w:ascii="Times New Roman" w:eastAsia="宋体" w:hAnsi="Times New Roman" w:cs="Times New Roman"/>
          <w:sz w:val="24"/>
        </w:rPr>
        <w:t>根据大赛规则向组委会建议对相关违规行为进行处罚。</w:t>
      </w:r>
    </w:p>
    <w:p w14:paraId="03521B3C" w14:textId="77777777" w:rsidR="00256A88" w:rsidRDefault="00000000">
      <w:pPr>
        <w:spacing w:line="360" w:lineRule="auto"/>
        <w:ind w:firstLineChars="200" w:firstLine="482"/>
        <w:rPr>
          <w:rFonts w:ascii="Times New Roman" w:eastAsia="宋体" w:hAnsi="Times New Roman" w:cs="Times New Roman"/>
          <w:b/>
          <w:bCs/>
          <w:sz w:val="24"/>
        </w:rPr>
      </w:pPr>
      <w:r>
        <w:rPr>
          <w:rFonts w:ascii="Times New Roman" w:eastAsia="宋体" w:hAnsi="Times New Roman" w:cs="Times New Roman" w:hint="eastAsia"/>
          <w:b/>
          <w:bCs/>
          <w:sz w:val="24"/>
        </w:rPr>
        <w:t>（三）</w:t>
      </w:r>
      <w:r>
        <w:rPr>
          <w:rFonts w:ascii="Times New Roman" w:eastAsia="宋体" w:hAnsi="Times New Roman" w:cs="Times New Roman"/>
          <w:b/>
          <w:bCs/>
          <w:sz w:val="24"/>
        </w:rPr>
        <w:t>秘书处</w:t>
      </w:r>
    </w:p>
    <w:p w14:paraId="7FEB8D4E"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秘书处主要由湖南师范大学法学院的行政人员及学生组成，负责大赛的日常工作，行使以下职权：</w:t>
      </w:r>
    </w:p>
    <w:p w14:paraId="0A98F89B"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1.</w:t>
      </w:r>
      <w:r>
        <w:rPr>
          <w:rFonts w:ascii="Times New Roman" w:eastAsia="宋体" w:hAnsi="Times New Roman" w:cs="Times New Roman"/>
          <w:sz w:val="24"/>
        </w:rPr>
        <w:t>确定大赛流程和日程安排；</w:t>
      </w:r>
    </w:p>
    <w:p w14:paraId="298601E4"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2.</w:t>
      </w:r>
      <w:r>
        <w:rPr>
          <w:rFonts w:ascii="Times New Roman" w:eastAsia="宋体" w:hAnsi="Times New Roman" w:cs="Times New Roman"/>
          <w:sz w:val="24"/>
        </w:rPr>
        <w:t>负责组委会与各参赛队伍的联络工作；</w:t>
      </w:r>
    </w:p>
    <w:p w14:paraId="1503486B"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3.</w:t>
      </w:r>
      <w:r>
        <w:rPr>
          <w:rFonts w:ascii="Times New Roman" w:eastAsia="宋体" w:hAnsi="Times New Roman" w:cs="Times New Roman"/>
          <w:sz w:val="24"/>
        </w:rPr>
        <w:t>负责大赛的财务工作；</w:t>
      </w:r>
    </w:p>
    <w:p w14:paraId="39FDFA60"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4.</w:t>
      </w:r>
      <w:r>
        <w:rPr>
          <w:rFonts w:ascii="Times New Roman" w:eastAsia="宋体" w:hAnsi="Times New Roman" w:cs="Times New Roman"/>
          <w:sz w:val="24"/>
        </w:rPr>
        <w:t>负责组织参赛报名程序和参赛队伍成员的资格审核；</w:t>
      </w:r>
    </w:p>
    <w:p w14:paraId="5F7B15FB"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5.</w:t>
      </w:r>
      <w:r>
        <w:rPr>
          <w:rFonts w:ascii="Times New Roman" w:eastAsia="宋体" w:hAnsi="Times New Roman" w:cs="Times New Roman"/>
          <w:sz w:val="24"/>
        </w:rPr>
        <w:t>负责大赛的宣传和媒体工作；</w:t>
      </w:r>
    </w:p>
    <w:p w14:paraId="1007279C"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6.</w:t>
      </w:r>
      <w:r>
        <w:rPr>
          <w:rFonts w:ascii="Times New Roman" w:eastAsia="宋体" w:hAnsi="Times New Roman" w:cs="Times New Roman"/>
          <w:sz w:val="24"/>
        </w:rPr>
        <w:t>负责大赛的具体组织和管理工作。</w:t>
      </w:r>
    </w:p>
    <w:p w14:paraId="7D8754F3" w14:textId="77777777" w:rsidR="00256A88" w:rsidRDefault="00000000">
      <w:pPr>
        <w:spacing w:line="360" w:lineRule="auto"/>
        <w:ind w:firstLineChars="200" w:firstLine="562"/>
        <w:rPr>
          <w:rFonts w:ascii="Times New Roman" w:eastAsia="宋体" w:hAnsi="Times New Roman" w:cs="Times New Roman"/>
          <w:sz w:val="24"/>
        </w:rPr>
      </w:pPr>
      <w:r>
        <w:rPr>
          <w:rFonts w:ascii="Times New Roman" w:eastAsia="宋体" w:hAnsi="Times New Roman" w:cs="Times New Roman" w:hint="eastAsia"/>
          <w:b/>
          <w:bCs/>
          <w:sz w:val="28"/>
          <w:szCs w:val="28"/>
        </w:rPr>
        <w:t>三、参赛学校</w:t>
      </w: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（排名不分先后、括号内为代表队数目）</w:t>
      </w:r>
    </w:p>
    <w:p w14:paraId="4BD2E0D8"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中南大学（</w:t>
      </w:r>
      <w:r>
        <w:rPr>
          <w:rFonts w:ascii="Times New Roman" w:eastAsia="宋体" w:hAnsi="Times New Roman" w:cs="Times New Roman" w:hint="eastAsia"/>
          <w:sz w:val="24"/>
        </w:rPr>
        <w:t>2</w:t>
      </w:r>
      <w:r>
        <w:rPr>
          <w:rFonts w:ascii="Times New Roman" w:eastAsia="宋体" w:hAnsi="Times New Roman" w:cs="Times New Roman" w:hint="eastAsia"/>
          <w:sz w:val="24"/>
        </w:rPr>
        <w:t>）</w:t>
      </w: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湖南大学（</w:t>
      </w:r>
      <w:r>
        <w:rPr>
          <w:rFonts w:ascii="Times New Roman" w:eastAsia="宋体" w:hAnsi="Times New Roman" w:cs="Times New Roman" w:hint="eastAsia"/>
          <w:sz w:val="24"/>
        </w:rPr>
        <w:t>2</w:t>
      </w:r>
      <w:r>
        <w:rPr>
          <w:rFonts w:ascii="Times New Roman" w:eastAsia="宋体" w:hAnsi="Times New Roman" w:cs="Times New Roman" w:hint="eastAsia"/>
          <w:sz w:val="24"/>
        </w:rPr>
        <w:t>）</w:t>
      </w:r>
    </w:p>
    <w:p w14:paraId="74088DF7"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湘潭大学（</w:t>
      </w:r>
      <w:r>
        <w:rPr>
          <w:rFonts w:ascii="Times New Roman" w:eastAsia="宋体" w:hAnsi="Times New Roman" w:cs="Times New Roman" w:hint="eastAsia"/>
          <w:sz w:val="24"/>
        </w:rPr>
        <w:t>2</w:t>
      </w:r>
      <w:r>
        <w:rPr>
          <w:rFonts w:ascii="Times New Roman" w:eastAsia="宋体" w:hAnsi="Times New Roman" w:cs="Times New Roman" w:hint="eastAsia"/>
          <w:sz w:val="24"/>
        </w:rPr>
        <w:t>）</w:t>
      </w: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湖南师范大学（</w:t>
      </w:r>
      <w:r>
        <w:rPr>
          <w:rFonts w:ascii="Times New Roman" w:eastAsia="宋体" w:hAnsi="Times New Roman" w:cs="Times New Roman" w:hint="eastAsia"/>
          <w:sz w:val="24"/>
        </w:rPr>
        <w:t>2</w:t>
      </w:r>
      <w:r>
        <w:rPr>
          <w:rFonts w:ascii="Times New Roman" w:eastAsia="宋体" w:hAnsi="Times New Roman" w:cs="Times New Roman" w:hint="eastAsia"/>
          <w:sz w:val="24"/>
        </w:rPr>
        <w:t>）</w:t>
      </w:r>
      <w:r>
        <w:rPr>
          <w:rFonts w:ascii="Times New Roman" w:eastAsia="宋体" w:hAnsi="Times New Roman" w:cs="Times New Roman" w:hint="eastAsia"/>
          <w:sz w:val="24"/>
        </w:rPr>
        <w:t xml:space="preserve"> </w:t>
      </w:r>
    </w:p>
    <w:p w14:paraId="073B3239"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长沙理工大学（</w:t>
      </w:r>
      <w:r>
        <w:rPr>
          <w:rFonts w:ascii="Times New Roman" w:eastAsia="宋体" w:hAnsi="Times New Roman" w:cs="Times New Roman" w:hint="eastAsia"/>
          <w:sz w:val="24"/>
        </w:rPr>
        <w:t>1</w:t>
      </w:r>
      <w:r>
        <w:rPr>
          <w:rFonts w:ascii="Times New Roman" w:eastAsia="宋体" w:hAnsi="Times New Roman" w:cs="Times New Roman" w:hint="eastAsia"/>
          <w:sz w:val="24"/>
        </w:rPr>
        <w:t>）</w:t>
      </w: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湖南科技大学（</w:t>
      </w:r>
      <w:r>
        <w:rPr>
          <w:rFonts w:ascii="Times New Roman" w:eastAsia="宋体" w:hAnsi="Times New Roman" w:cs="Times New Roman" w:hint="eastAsia"/>
          <w:sz w:val="24"/>
        </w:rPr>
        <w:t>1</w:t>
      </w:r>
      <w:r>
        <w:rPr>
          <w:rFonts w:ascii="Times New Roman" w:eastAsia="宋体" w:hAnsi="Times New Roman" w:cs="Times New Roman" w:hint="eastAsia"/>
          <w:sz w:val="24"/>
        </w:rPr>
        <w:t>）</w:t>
      </w:r>
    </w:p>
    <w:p w14:paraId="050260FE"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吉首大学（</w:t>
      </w:r>
      <w:r>
        <w:rPr>
          <w:rFonts w:ascii="Times New Roman" w:eastAsia="宋体" w:hAnsi="Times New Roman" w:cs="Times New Roman" w:hint="eastAsia"/>
          <w:sz w:val="24"/>
        </w:rPr>
        <w:t>1</w:t>
      </w:r>
      <w:r>
        <w:rPr>
          <w:rFonts w:ascii="Times New Roman" w:eastAsia="宋体" w:hAnsi="Times New Roman" w:cs="Times New Roman" w:hint="eastAsia"/>
          <w:sz w:val="24"/>
        </w:rPr>
        <w:t>）</w:t>
      </w: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南华大学（</w:t>
      </w:r>
      <w:r>
        <w:rPr>
          <w:rFonts w:ascii="Times New Roman" w:eastAsia="宋体" w:hAnsi="Times New Roman" w:cs="Times New Roman" w:hint="eastAsia"/>
          <w:sz w:val="24"/>
        </w:rPr>
        <w:t>1</w:t>
      </w:r>
      <w:r>
        <w:rPr>
          <w:rFonts w:ascii="Times New Roman" w:eastAsia="宋体" w:hAnsi="Times New Roman" w:cs="Times New Roman" w:hint="eastAsia"/>
          <w:sz w:val="24"/>
        </w:rPr>
        <w:t>）</w:t>
      </w:r>
    </w:p>
    <w:p w14:paraId="474FB129"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湖南工业大学（</w:t>
      </w:r>
      <w:r>
        <w:rPr>
          <w:rFonts w:ascii="Times New Roman" w:eastAsia="宋体" w:hAnsi="Times New Roman" w:cs="Times New Roman" w:hint="eastAsia"/>
          <w:sz w:val="24"/>
        </w:rPr>
        <w:t>1</w:t>
      </w:r>
      <w:r>
        <w:rPr>
          <w:rFonts w:ascii="Times New Roman" w:eastAsia="宋体" w:hAnsi="Times New Roman" w:cs="Times New Roman" w:hint="eastAsia"/>
          <w:sz w:val="24"/>
        </w:rPr>
        <w:t>）</w:t>
      </w: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湖南工商大学（</w:t>
      </w:r>
      <w:r>
        <w:rPr>
          <w:rFonts w:ascii="Times New Roman" w:eastAsia="宋体" w:hAnsi="Times New Roman" w:cs="Times New Roman" w:hint="eastAsia"/>
          <w:sz w:val="24"/>
        </w:rPr>
        <w:t>1</w:t>
      </w:r>
      <w:r>
        <w:rPr>
          <w:rFonts w:ascii="Times New Roman" w:eastAsia="宋体" w:hAnsi="Times New Roman" w:cs="Times New Roman" w:hint="eastAsia"/>
          <w:sz w:val="24"/>
        </w:rPr>
        <w:t>）</w:t>
      </w:r>
    </w:p>
    <w:p w14:paraId="574C5745"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湖南理工学院（</w:t>
      </w:r>
      <w:r>
        <w:rPr>
          <w:rFonts w:ascii="Times New Roman" w:eastAsia="宋体" w:hAnsi="Times New Roman" w:cs="Times New Roman" w:hint="eastAsia"/>
          <w:sz w:val="24"/>
        </w:rPr>
        <w:t>1</w:t>
      </w:r>
      <w:r>
        <w:rPr>
          <w:rFonts w:ascii="Times New Roman" w:eastAsia="宋体" w:hAnsi="Times New Roman" w:cs="Times New Roman" w:hint="eastAsia"/>
          <w:sz w:val="24"/>
        </w:rPr>
        <w:t>）</w:t>
      </w:r>
      <w:r>
        <w:rPr>
          <w:rFonts w:ascii="Times New Roman" w:eastAsia="宋体" w:hAnsi="Times New Roman" w:cs="Times New Roman" w:hint="eastAsia"/>
          <w:sz w:val="24"/>
        </w:rPr>
        <w:t xml:space="preserve">      </w:t>
      </w:r>
      <w:r>
        <w:rPr>
          <w:rFonts w:ascii="Times New Roman" w:eastAsia="宋体" w:hAnsi="Times New Roman" w:cs="Times New Roman" w:hint="eastAsia"/>
          <w:sz w:val="24"/>
        </w:rPr>
        <w:t>中共湖南省委党校（湖南行政学院</w:t>
      </w:r>
      <w:r>
        <w:rPr>
          <w:rFonts w:ascii="Times New Roman" w:eastAsia="宋体" w:hAnsi="Times New Roman" w:cs="Times New Roman" w:hint="eastAsia"/>
          <w:sz w:val="24"/>
        </w:rPr>
        <w:t>)</w:t>
      </w:r>
      <w:r>
        <w:rPr>
          <w:rFonts w:ascii="Times New Roman" w:eastAsia="宋体" w:hAnsi="Times New Roman" w:cs="Times New Roman" w:hint="eastAsia"/>
          <w:sz w:val="24"/>
        </w:rPr>
        <w:t>（</w:t>
      </w:r>
      <w:r>
        <w:rPr>
          <w:rFonts w:ascii="Times New Roman" w:eastAsia="宋体" w:hAnsi="Times New Roman" w:cs="Times New Roman" w:hint="eastAsia"/>
          <w:sz w:val="24"/>
        </w:rPr>
        <w:t>1</w:t>
      </w:r>
      <w:r>
        <w:rPr>
          <w:rFonts w:ascii="Times New Roman" w:eastAsia="宋体" w:hAnsi="Times New Roman" w:cs="Times New Roman" w:hint="eastAsia"/>
          <w:sz w:val="24"/>
        </w:rPr>
        <w:t>）</w:t>
      </w:r>
    </w:p>
    <w:p w14:paraId="26BCE90E"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中南林业科技大学（</w:t>
      </w:r>
      <w:r>
        <w:rPr>
          <w:rFonts w:ascii="Times New Roman" w:eastAsia="宋体" w:hAnsi="Times New Roman" w:cs="Times New Roman" w:hint="eastAsia"/>
          <w:sz w:val="24"/>
        </w:rPr>
        <w:t>1</w:t>
      </w:r>
      <w:r>
        <w:rPr>
          <w:rFonts w:ascii="Times New Roman" w:eastAsia="宋体" w:hAnsi="Times New Roman" w:cs="Times New Roman" w:hint="eastAsia"/>
          <w:sz w:val="24"/>
        </w:rPr>
        <w:t>）</w:t>
      </w:r>
    </w:p>
    <w:p w14:paraId="384582A5"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以上</w:t>
      </w:r>
      <w:r>
        <w:rPr>
          <w:rFonts w:ascii="Times New Roman" w:eastAsia="宋体" w:hAnsi="Times New Roman" w:cs="Times New Roman" w:hint="eastAsia"/>
          <w:sz w:val="24"/>
        </w:rPr>
        <w:t>13</w:t>
      </w:r>
      <w:r>
        <w:rPr>
          <w:rFonts w:ascii="Times New Roman" w:eastAsia="宋体" w:hAnsi="Times New Roman" w:cs="Times New Roman" w:hint="eastAsia"/>
          <w:sz w:val="24"/>
        </w:rPr>
        <w:t>所高校共计</w:t>
      </w:r>
      <w:r>
        <w:rPr>
          <w:rFonts w:ascii="Times New Roman" w:eastAsia="宋体" w:hAnsi="Times New Roman" w:cs="Times New Roman" w:hint="eastAsia"/>
          <w:sz w:val="24"/>
        </w:rPr>
        <w:t>17</w:t>
      </w:r>
      <w:r>
        <w:rPr>
          <w:rFonts w:ascii="Times New Roman" w:eastAsia="宋体" w:hAnsi="Times New Roman" w:cs="Times New Roman" w:hint="eastAsia"/>
          <w:sz w:val="24"/>
        </w:rPr>
        <w:t>支队伍参加法律意见书竞赛和现场言词辩论竞赛。</w:t>
      </w:r>
    </w:p>
    <w:p w14:paraId="5DB1D57F" w14:textId="77777777" w:rsidR="00256A88" w:rsidRDefault="00000000">
      <w:pPr>
        <w:spacing w:line="360" w:lineRule="auto"/>
        <w:ind w:firstLineChars="200" w:firstLine="562"/>
        <w:rPr>
          <w:rFonts w:ascii="Times New Roman" w:eastAsia="宋体" w:hAnsi="Times New Roman" w:cs="Times New Roman"/>
          <w:b/>
          <w:bCs/>
          <w:sz w:val="28"/>
          <w:szCs w:val="28"/>
        </w:rPr>
      </w:pPr>
      <w:r>
        <w:rPr>
          <w:rFonts w:ascii="Times New Roman" w:eastAsia="宋体" w:hAnsi="Times New Roman" w:cs="Times New Roman" w:hint="eastAsia"/>
          <w:b/>
          <w:bCs/>
          <w:sz w:val="28"/>
          <w:szCs w:val="28"/>
        </w:rPr>
        <w:t>四、</w:t>
      </w:r>
      <w:r>
        <w:rPr>
          <w:rFonts w:ascii="Times New Roman" w:eastAsia="宋体" w:hAnsi="Times New Roman" w:cs="Times New Roman"/>
          <w:b/>
          <w:bCs/>
          <w:sz w:val="28"/>
          <w:szCs w:val="28"/>
        </w:rPr>
        <w:t>大赛时间与地点</w:t>
      </w:r>
    </w:p>
    <w:p w14:paraId="0A585603"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比赛时间为</w:t>
      </w:r>
      <w:r>
        <w:rPr>
          <w:rFonts w:ascii="Times New Roman" w:eastAsia="宋体" w:hAnsi="Times New Roman" w:cs="Times New Roman" w:hint="eastAsia"/>
          <w:sz w:val="24"/>
        </w:rPr>
        <w:t>2025</w:t>
      </w:r>
      <w:r>
        <w:rPr>
          <w:rFonts w:ascii="Times New Roman" w:eastAsia="宋体" w:hAnsi="Times New Roman" w:cs="Times New Roman" w:hint="eastAsia"/>
          <w:sz w:val="24"/>
        </w:rPr>
        <w:t>年</w:t>
      </w:r>
      <w:r>
        <w:rPr>
          <w:rFonts w:ascii="Times New Roman" w:eastAsia="宋体" w:hAnsi="Times New Roman" w:cs="Times New Roman" w:hint="eastAsia"/>
          <w:sz w:val="24"/>
        </w:rPr>
        <w:t>11</w:t>
      </w:r>
      <w:r>
        <w:rPr>
          <w:rFonts w:ascii="Times New Roman" w:eastAsia="宋体" w:hAnsi="Times New Roman" w:cs="Times New Roman" w:hint="eastAsia"/>
          <w:sz w:val="24"/>
        </w:rPr>
        <w:t>月</w:t>
      </w:r>
      <w:r>
        <w:rPr>
          <w:rFonts w:ascii="Times New Roman" w:eastAsia="宋体" w:hAnsi="Times New Roman" w:cs="Times New Roman" w:hint="eastAsia"/>
          <w:sz w:val="24"/>
        </w:rPr>
        <w:t>15</w:t>
      </w:r>
      <w:r>
        <w:rPr>
          <w:rFonts w:ascii="Times New Roman" w:eastAsia="宋体" w:hAnsi="Times New Roman" w:cs="Times New Roman" w:hint="eastAsia"/>
          <w:sz w:val="24"/>
        </w:rPr>
        <w:t>日</w:t>
      </w:r>
      <w:r>
        <w:rPr>
          <w:rFonts w:ascii="Times New Roman" w:eastAsia="宋体" w:hAnsi="Times New Roman" w:cs="Times New Roman" w:hint="eastAsia"/>
          <w:sz w:val="24"/>
        </w:rPr>
        <w:t>-16</w:t>
      </w:r>
      <w:r>
        <w:rPr>
          <w:rFonts w:ascii="Times New Roman" w:eastAsia="宋体" w:hAnsi="Times New Roman" w:cs="Times New Roman" w:hint="eastAsia"/>
          <w:sz w:val="24"/>
        </w:rPr>
        <w:t>日，</w:t>
      </w:r>
      <w:r>
        <w:rPr>
          <w:rFonts w:ascii="Times New Roman" w:eastAsia="宋体" w:hAnsi="Times New Roman" w:cs="Times New Roman" w:hint="eastAsia"/>
          <w:sz w:val="24"/>
        </w:rPr>
        <w:t>15</w:t>
      </w:r>
      <w:r>
        <w:rPr>
          <w:rFonts w:ascii="Times New Roman" w:eastAsia="宋体" w:hAnsi="Times New Roman" w:cs="Times New Roman" w:hint="eastAsia"/>
          <w:sz w:val="24"/>
        </w:rPr>
        <w:t>日进行初赛，</w:t>
      </w:r>
      <w:r>
        <w:rPr>
          <w:rFonts w:ascii="Times New Roman" w:eastAsia="宋体" w:hAnsi="Times New Roman" w:cs="Times New Roman" w:hint="eastAsia"/>
          <w:sz w:val="24"/>
        </w:rPr>
        <w:t>16</w:t>
      </w:r>
      <w:r>
        <w:rPr>
          <w:rFonts w:ascii="Times New Roman" w:eastAsia="宋体" w:hAnsi="Times New Roman" w:cs="Times New Roman" w:hint="eastAsia"/>
          <w:sz w:val="24"/>
        </w:rPr>
        <w:t>日进行复赛、半决赛及决赛。赛场设置在湖南师范大学景德楼。</w:t>
      </w:r>
    </w:p>
    <w:p w14:paraId="79E861A4" w14:textId="77777777" w:rsidR="00256A88" w:rsidRDefault="00000000">
      <w:pPr>
        <w:spacing w:line="360" w:lineRule="auto"/>
        <w:ind w:firstLineChars="200" w:firstLine="562"/>
        <w:rPr>
          <w:rFonts w:ascii="Times New Roman" w:eastAsia="宋体" w:hAnsi="Times New Roman" w:cs="Times New Roman"/>
          <w:b/>
          <w:bCs/>
          <w:sz w:val="28"/>
          <w:szCs w:val="28"/>
        </w:rPr>
      </w:pPr>
      <w:r>
        <w:rPr>
          <w:rFonts w:ascii="Times New Roman" w:eastAsia="宋体" w:hAnsi="Times New Roman" w:cs="Times New Roman" w:hint="eastAsia"/>
          <w:b/>
          <w:bCs/>
          <w:sz w:val="28"/>
          <w:szCs w:val="28"/>
        </w:rPr>
        <w:t>五、大赛项目及奖项设置</w:t>
      </w:r>
    </w:p>
    <w:p w14:paraId="62F6C564"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lastRenderedPageBreak/>
        <w:t>第九届湖南省研究生法律案例大赛由两部分组成</w:t>
      </w:r>
      <w:r>
        <w:rPr>
          <w:rFonts w:ascii="Times New Roman" w:eastAsia="宋体" w:hAnsi="Times New Roman" w:cs="Times New Roman"/>
          <w:sz w:val="24"/>
        </w:rPr>
        <w:t>：法律意见书竞赛和言辞辩论竞赛，依照组委会发放的案例进行竞赛。</w:t>
      </w:r>
    </w:p>
    <w:p w14:paraId="2FFF6E10" w14:textId="77777777" w:rsidR="00256A88" w:rsidRDefault="00000000">
      <w:pPr>
        <w:spacing w:line="360" w:lineRule="auto"/>
        <w:ind w:firstLineChars="200" w:firstLine="482"/>
        <w:rPr>
          <w:rFonts w:ascii="Times New Roman" w:eastAsia="宋体" w:hAnsi="Times New Roman" w:cs="Times New Roman"/>
          <w:b/>
          <w:bCs/>
          <w:sz w:val="24"/>
        </w:rPr>
      </w:pPr>
      <w:r>
        <w:rPr>
          <w:rFonts w:ascii="Times New Roman" w:eastAsia="宋体" w:hAnsi="Times New Roman" w:cs="Times New Roman" w:hint="eastAsia"/>
          <w:b/>
          <w:bCs/>
          <w:sz w:val="24"/>
        </w:rPr>
        <w:t>（一）</w:t>
      </w:r>
      <w:r>
        <w:rPr>
          <w:rFonts w:ascii="Times New Roman" w:eastAsia="宋体" w:hAnsi="Times New Roman" w:cs="Times New Roman"/>
          <w:b/>
          <w:bCs/>
          <w:sz w:val="24"/>
        </w:rPr>
        <w:t>法律意见书竞赛</w:t>
      </w:r>
    </w:p>
    <w:p w14:paraId="752E2264"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sz w:val="24"/>
        </w:rPr>
        <w:t>设优秀书状奖共</w:t>
      </w:r>
      <w:r>
        <w:rPr>
          <w:rFonts w:ascii="Times New Roman" w:eastAsia="宋体" w:hAnsi="Times New Roman" w:cs="Times New Roman"/>
          <w:sz w:val="24"/>
        </w:rPr>
        <w:t>9</w:t>
      </w:r>
      <w:r>
        <w:rPr>
          <w:rFonts w:ascii="Times New Roman" w:eastAsia="宋体" w:hAnsi="Times New Roman" w:cs="Times New Roman"/>
          <w:sz w:val="24"/>
        </w:rPr>
        <w:t>项，其中一等奖</w:t>
      </w:r>
      <w:r>
        <w:rPr>
          <w:rFonts w:ascii="Times New Roman" w:eastAsia="宋体" w:hAnsi="Times New Roman" w:cs="Times New Roman"/>
          <w:sz w:val="24"/>
        </w:rPr>
        <w:t>2</w:t>
      </w:r>
      <w:r>
        <w:rPr>
          <w:rFonts w:ascii="Times New Roman" w:eastAsia="宋体" w:hAnsi="Times New Roman" w:cs="Times New Roman"/>
          <w:sz w:val="24"/>
        </w:rPr>
        <w:t>项、二等奖</w:t>
      </w:r>
      <w:r>
        <w:rPr>
          <w:rFonts w:ascii="Times New Roman" w:eastAsia="宋体" w:hAnsi="Times New Roman" w:cs="Times New Roman" w:hint="eastAsia"/>
          <w:sz w:val="24"/>
        </w:rPr>
        <w:t>2</w:t>
      </w:r>
      <w:r>
        <w:rPr>
          <w:rFonts w:ascii="Times New Roman" w:eastAsia="宋体" w:hAnsi="Times New Roman" w:cs="Times New Roman"/>
          <w:sz w:val="24"/>
        </w:rPr>
        <w:t>项、三等</w:t>
      </w:r>
      <w:r>
        <w:rPr>
          <w:rFonts w:ascii="Times New Roman" w:eastAsia="宋体" w:hAnsi="Times New Roman" w:cs="Times New Roman" w:hint="eastAsia"/>
          <w:sz w:val="24"/>
        </w:rPr>
        <w:t>奖</w:t>
      </w:r>
      <w:r>
        <w:rPr>
          <w:rFonts w:ascii="Times New Roman" w:eastAsia="宋体" w:hAnsi="Times New Roman" w:cs="Times New Roman" w:hint="eastAsia"/>
          <w:sz w:val="24"/>
        </w:rPr>
        <w:t>5</w:t>
      </w:r>
      <w:r>
        <w:rPr>
          <w:rFonts w:ascii="Times New Roman" w:eastAsia="宋体" w:hAnsi="Times New Roman" w:cs="Times New Roman"/>
          <w:sz w:val="24"/>
        </w:rPr>
        <w:t>项，依据法律意见书得分高低排名确定。</w:t>
      </w:r>
    </w:p>
    <w:p w14:paraId="05EA5A95" w14:textId="77777777" w:rsidR="00256A88" w:rsidRDefault="00000000">
      <w:pPr>
        <w:spacing w:line="360" w:lineRule="auto"/>
        <w:ind w:firstLineChars="200" w:firstLine="482"/>
        <w:rPr>
          <w:rFonts w:ascii="Times New Roman" w:eastAsia="宋体" w:hAnsi="Times New Roman" w:cs="Times New Roman"/>
          <w:b/>
          <w:bCs/>
          <w:sz w:val="24"/>
        </w:rPr>
      </w:pPr>
      <w:r>
        <w:rPr>
          <w:rFonts w:ascii="Times New Roman" w:eastAsia="宋体" w:hAnsi="Times New Roman" w:cs="Times New Roman" w:hint="eastAsia"/>
          <w:b/>
          <w:bCs/>
          <w:sz w:val="24"/>
        </w:rPr>
        <w:t>（二）</w:t>
      </w:r>
      <w:r>
        <w:rPr>
          <w:rFonts w:ascii="Times New Roman" w:eastAsia="宋体" w:hAnsi="Times New Roman" w:cs="Times New Roman"/>
          <w:b/>
          <w:bCs/>
          <w:sz w:val="24"/>
        </w:rPr>
        <w:t>言辞辩论竞赛</w:t>
      </w:r>
    </w:p>
    <w:p w14:paraId="0AA1AA2C"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1.</w:t>
      </w:r>
      <w:r>
        <w:rPr>
          <w:rFonts w:ascii="Times New Roman" w:eastAsia="宋体" w:hAnsi="Times New Roman" w:cs="Times New Roman"/>
          <w:sz w:val="24"/>
        </w:rPr>
        <w:t>优秀团队奖：设</w:t>
      </w:r>
      <w:r>
        <w:rPr>
          <w:rFonts w:ascii="Times New Roman" w:eastAsia="宋体" w:hAnsi="Times New Roman" w:cs="Times New Roman"/>
          <w:sz w:val="24"/>
        </w:rPr>
        <w:t>2</w:t>
      </w:r>
      <w:r>
        <w:rPr>
          <w:rFonts w:ascii="Times New Roman" w:eastAsia="宋体" w:hAnsi="Times New Roman" w:cs="Times New Roman"/>
          <w:sz w:val="24"/>
        </w:rPr>
        <w:t>项一等奖（分冠亚军），</w:t>
      </w:r>
      <w:r>
        <w:rPr>
          <w:rFonts w:ascii="Times New Roman" w:eastAsia="宋体" w:hAnsi="Times New Roman" w:cs="Times New Roman" w:hint="eastAsia"/>
          <w:sz w:val="24"/>
        </w:rPr>
        <w:t>2</w:t>
      </w:r>
      <w:r>
        <w:rPr>
          <w:rFonts w:ascii="Times New Roman" w:eastAsia="宋体" w:hAnsi="Times New Roman" w:cs="Times New Roman"/>
          <w:sz w:val="24"/>
        </w:rPr>
        <w:t>项二等奖、</w:t>
      </w:r>
      <w:r>
        <w:rPr>
          <w:rFonts w:ascii="Times New Roman" w:eastAsia="宋体" w:hAnsi="Times New Roman" w:cs="Times New Roman"/>
          <w:sz w:val="24"/>
        </w:rPr>
        <w:t>4</w:t>
      </w:r>
      <w:r>
        <w:rPr>
          <w:rFonts w:ascii="Times New Roman" w:eastAsia="宋体" w:hAnsi="Times New Roman" w:cs="Times New Roman"/>
          <w:sz w:val="24"/>
        </w:rPr>
        <w:t>项</w:t>
      </w:r>
      <w:r>
        <w:rPr>
          <w:rFonts w:ascii="Times New Roman" w:eastAsia="宋体" w:hAnsi="Times New Roman" w:cs="Times New Roman" w:hint="eastAsia"/>
          <w:sz w:val="24"/>
        </w:rPr>
        <w:t>或</w:t>
      </w:r>
      <w:r>
        <w:rPr>
          <w:rFonts w:ascii="Times New Roman" w:eastAsia="宋体" w:hAnsi="Times New Roman" w:cs="Times New Roman" w:hint="eastAsia"/>
          <w:sz w:val="24"/>
        </w:rPr>
        <w:t>5</w:t>
      </w:r>
      <w:r>
        <w:rPr>
          <w:rFonts w:ascii="Times New Roman" w:eastAsia="宋体" w:hAnsi="Times New Roman" w:cs="Times New Roman" w:hint="eastAsia"/>
          <w:sz w:val="24"/>
        </w:rPr>
        <w:t>项</w:t>
      </w:r>
      <w:r>
        <w:rPr>
          <w:rFonts w:ascii="Times New Roman" w:eastAsia="宋体" w:hAnsi="Times New Roman" w:cs="Times New Roman"/>
          <w:sz w:val="24"/>
        </w:rPr>
        <w:t>三等奖，依据各环节综合得分评定。</w:t>
      </w:r>
    </w:p>
    <w:p w14:paraId="770A1B9E"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初赛前八场胜方队伍中，评分最低队伍与抽签待定队伍进行加赛，若分数相同则抽签决定与待定队伍进行加赛。若加赛队伍获胜，则待定队伍不获奖，三等奖为</w:t>
      </w:r>
      <w:r>
        <w:rPr>
          <w:rFonts w:ascii="Times New Roman" w:eastAsia="宋体" w:hAnsi="Times New Roman" w:cs="Times New Roman" w:hint="eastAsia"/>
          <w:sz w:val="24"/>
        </w:rPr>
        <w:t>4</w:t>
      </w:r>
      <w:r>
        <w:rPr>
          <w:rFonts w:ascii="Times New Roman" w:eastAsia="宋体" w:hAnsi="Times New Roman" w:cs="Times New Roman" w:hint="eastAsia"/>
          <w:sz w:val="24"/>
        </w:rPr>
        <w:t>项；若待定队伍获胜，则加赛队伍和待定队伍均获三等奖，三等奖为</w:t>
      </w:r>
      <w:r>
        <w:rPr>
          <w:rFonts w:ascii="Times New Roman" w:eastAsia="宋体" w:hAnsi="Times New Roman" w:cs="Times New Roman" w:hint="eastAsia"/>
          <w:sz w:val="24"/>
        </w:rPr>
        <w:t>5</w:t>
      </w:r>
      <w:r>
        <w:rPr>
          <w:rFonts w:ascii="Times New Roman" w:eastAsia="宋体" w:hAnsi="Times New Roman" w:cs="Times New Roman" w:hint="eastAsia"/>
          <w:sz w:val="24"/>
        </w:rPr>
        <w:t>项。</w:t>
      </w:r>
    </w:p>
    <w:p w14:paraId="59D28118"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2.</w:t>
      </w:r>
      <w:r>
        <w:rPr>
          <w:rFonts w:ascii="Times New Roman" w:eastAsia="宋体" w:hAnsi="Times New Roman" w:cs="Times New Roman"/>
          <w:sz w:val="24"/>
        </w:rPr>
        <w:t>优秀组织奖</w:t>
      </w:r>
      <w:r>
        <w:rPr>
          <w:rFonts w:ascii="Times New Roman" w:eastAsia="宋体" w:hAnsi="Times New Roman" w:cs="Times New Roman"/>
          <w:sz w:val="24"/>
        </w:rPr>
        <w:t>4</w:t>
      </w:r>
      <w:r>
        <w:rPr>
          <w:rFonts w:ascii="Times New Roman" w:eastAsia="宋体" w:hAnsi="Times New Roman" w:cs="Times New Roman"/>
          <w:sz w:val="24"/>
        </w:rPr>
        <w:t>项，表彰在赛事组织、参赛动员等方面表现突出的单位。</w:t>
      </w:r>
    </w:p>
    <w:p w14:paraId="7BAF69EE"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3.</w:t>
      </w:r>
      <w:r>
        <w:rPr>
          <w:rFonts w:ascii="Times New Roman" w:eastAsia="宋体" w:hAnsi="Times New Roman" w:cs="Times New Roman"/>
          <w:sz w:val="24"/>
        </w:rPr>
        <w:t>设优秀辩手奖</w:t>
      </w:r>
      <w:r>
        <w:rPr>
          <w:rFonts w:ascii="Times New Roman" w:eastAsia="宋体" w:hAnsi="Times New Roman" w:cs="Times New Roman"/>
          <w:sz w:val="24"/>
        </w:rPr>
        <w:t>1</w:t>
      </w:r>
      <w:r>
        <w:rPr>
          <w:rFonts w:ascii="Times New Roman" w:eastAsia="宋体" w:hAnsi="Times New Roman" w:cs="Times New Roman" w:hint="eastAsia"/>
          <w:sz w:val="24"/>
        </w:rPr>
        <w:t>7</w:t>
      </w:r>
      <w:r>
        <w:rPr>
          <w:rFonts w:ascii="Times New Roman" w:eastAsia="宋体" w:hAnsi="Times New Roman" w:cs="Times New Roman"/>
          <w:sz w:val="24"/>
        </w:rPr>
        <w:t>名，从初赛各场次中表现优异的辩手中选拔。</w:t>
      </w:r>
    </w:p>
    <w:p w14:paraId="137FC51A" w14:textId="77777777" w:rsidR="00256A88" w:rsidRDefault="00000000">
      <w:pPr>
        <w:spacing w:line="360" w:lineRule="auto"/>
        <w:ind w:firstLineChars="200" w:firstLine="480"/>
        <w:rPr>
          <w:rFonts w:ascii="Times New Roman" w:eastAsia="宋体" w:hAnsi="Times New Roman" w:cs="Times New Roman"/>
          <w:sz w:val="24"/>
        </w:rPr>
      </w:pPr>
      <w:r>
        <w:rPr>
          <w:rFonts w:ascii="Times New Roman" w:eastAsia="宋体" w:hAnsi="Times New Roman" w:cs="Times New Roman" w:hint="eastAsia"/>
          <w:sz w:val="24"/>
        </w:rPr>
        <w:t>4.</w:t>
      </w:r>
      <w:r>
        <w:rPr>
          <w:rFonts w:ascii="Times New Roman" w:eastAsia="宋体" w:hAnsi="Times New Roman" w:cs="Times New Roman"/>
          <w:sz w:val="24"/>
        </w:rPr>
        <w:t>设最佳辩手奖</w:t>
      </w:r>
      <w:r>
        <w:rPr>
          <w:rFonts w:ascii="Times New Roman" w:eastAsia="宋体" w:hAnsi="Times New Roman" w:cs="Times New Roman"/>
          <w:sz w:val="24"/>
        </w:rPr>
        <w:t>1</w:t>
      </w:r>
      <w:r>
        <w:rPr>
          <w:rFonts w:ascii="Times New Roman" w:eastAsia="宋体" w:hAnsi="Times New Roman" w:cs="Times New Roman"/>
          <w:sz w:val="24"/>
        </w:rPr>
        <w:t>名，从</w:t>
      </w:r>
      <w:r>
        <w:rPr>
          <w:rFonts w:ascii="Times New Roman" w:eastAsia="宋体" w:hAnsi="Times New Roman" w:cs="Times New Roman" w:hint="eastAsia"/>
          <w:sz w:val="24"/>
        </w:rPr>
        <w:t>竞</w:t>
      </w:r>
      <w:r>
        <w:rPr>
          <w:rFonts w:ascii="Times New Roman" w:eastAsia="宋体" w:hAnsi="Times New Roman" w:cs="Times New Roman"/>
          <w:sz w:val="24"/>
        </w:rPr>
        <w:t>赛队伍中综合表现最突出者评定</w:t>
      </w:r>
      <w:r>
        <w:rPr>
          <w:rFonts w:ascii="Times New Roman" w:eastAsia="宋体" w:hAnsi="Times New Roman" w:cs="Times New Roman" w:hint="eastAsia"/>
          <w:sz w:val="24"/>
        </w:rPr>
        <w:t>。</w:t>
      </w:r>
    </w:p>
    <w:p w14:paraId="27B930D1" w14:textId="77777777" w:rsidR="00256A88" w:rsidRDefault="00000000">
      <w:pPr>
        <w:pStyle w:val="TableText"/>
        <w:numPr>
          <w:ilvl w:val="0"/>
          <w:numId w:val="1"/>
        </w:numPr>
        <w:spacing w:line="360" w:lineRule="auto"/>
        <w:rPr>
          <w:rFonts w:hint="eastAsia"/>
          <w:b/>
          <w:bCs/>
          <w:sz w:val="28"/>
          <w:szCs w:val="28"/>
          <w:lang w:eastAsia="zh-CN"/>
        </w:rPr>
      </w:pPr>
      <w:r>
        <w:rPr>
          <w:rFonts w:hint="eastAsia"/>
          <w:b/>
          <w:bCs/>
          <w:sz w:val="28"/>
          <w:szCs w:val="28"/>
          <w:lang w:eastAsia="zh-CN"/>
        </w:rPr>
        <w:t>大赛安排</w:t>
      </w:r>
    </w:p>
    <w:p w14:paraId="06928883" w14:textId="77777777" w:rsidR="00256A88" w:rsidRDefault="00000000">
      <w:pPr>
        <w:pStyle w:val="TableText"/>
        <w:spacing w:line="360" w:lineRule="auto"/>
        <w:ind w:firstLineChars="200" w:firstLine="482"/>
        <w:rPr>
          <w:rFonts w:hint="eastAsia"/>
          <w:b/>
          <w:bCs/>
          <w:sz w:val="24"/>
          <w:szCs w:val="24"/>
          <w:lang w:eastAsia="zh-CN"/>
        </w:rPr>
      </w:pPr>
      <w:r>
        <w:rPr>
          <w:rFonts w:hint="eastAsia"/>
          <w:b/>
          <w:bCs/>
          <w:sz w:val="24"/>
          <w:szCs w:val="24"/>
          <w:lang w:eastAsia="zh-CN"/>
        </w:rPr>
        <w:t>（一）参赛资格确认与报名</w:t>
      </w:r>
    </w:p>
    <w:p w14:paraId="3E8BC11D"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1.大赛由湖南省内具有全日制法学硕士和法律硕士研究生招生资格的高等院校在校内预赛的基础上组队参与比赛。参赛队员的资格证明材料由其所在学校负责提供。领队对外代表该队并负责与组委会联络相关赛务，同时担任该队指导老师。</w:t>
      </w:r>
    </w:p>
    <w:p w14:paraId="127C3FDE"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2.所有具有法学（法律）研究生培养资格的高校可组建一支参赛队伍，研究生培养规模较大的高校和承办高校（中南大学、湖南大学、湖南师范大学、湘潭大学）可组建2支队伍参加比赛，每支参赛队伍由4名在籍研究生（含一名替补）及不超过2名指导老师组成。在言词辩论竞赛环节，各参赛队伍选派3名队员上场参加比赛，参赛队员名单提交后，非特殊情况不得更换。</w:t>
      </w:r>
    </w:p>
    <w:p w14:paraId="43AAE251"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3.各个参赛队伍应于报名期限内，根据报名要求将相关材料提交至组委会。纸质版需加盖学校公章，以确认参赛队伍获得该校的代表权；电子版发送到大赛组委会办公室指定邮箱：</w:t>
      </w:r>
      <w:r>
        <w:rPr>
          <w:rFonts w:ascii="Times New Roman" w:hAnsi="Times New Roman" w:cs="Times New Roman"/>
          <w:sz w:val="24"/>
          <w:szCs w:val="24"/>
          <w:lang w:eastAsia="zh-CN"/>
        </w:rPr>
        <w:t>hnnualds@163.com</w:t>
      </w:r>
      <w:r>
        <w:rPr>
          <w:rFonts w:hint="eastAsia"/>
          <w:sz w:val="24"/>
          <w:szCs w:val="24"/>
          <w:lang w:eastAsia="zh-CN"/>
        </w:rPr>
        <w:t>。</w:t>
      </w:r>
    </w:p>
    <w:p w14:paraId="0DB91FE3" w14:textId="77777777" w:rsidR="00256A88" w:rsidRDefault="00000000">
      <w:pPr>
        <w:pStyle w:val="TableText"/>
        <w:spacing w:line="360" w:lineRule="auto"/>
        <w:ind w:firstLineChars="200" w:firstLine="482"/>
        <w:rPr>
          <w:rFonts w:hint="eastAsia"/>
          <w:b/>
          <w:bCs/>
          <w:sz w:val="24"/>
          <w:szCs w:val="24"/>
          <w:lang w:eastAsia="zh-CN"/>
        </w:rPr>
      </w:pPr>
      <w:r>
        <w:rPr>
          <w:rFonts w:hint="eastAsia"/>
          <w:b/>
          <w:bCs/>
          <w:sz w:val="24"/>
          <w:szCs w:val="24"/>
          <w:lang w:eastAsia="zh-CN"/>
        </w:rPr>
        <w:t>（二）线下报到及领队会议事宜</w:t>
      </w:r>
    </w:p>
    <w:p w14:paraId="1208EE81"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lastRenderedPageBreak/>
        <w:t>1.各队伍的线下报到时间为2025年11月14日下午14:30-16:30，报到时需要根据初赛案例提交法律意见书一式五份，并提交电子文档。</w:t>
      </w:r>
    </w:p>
    <w:p w14:paraId="7BB296B0"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2.第一次领队会议时间为11月14日16:30-17:30。</w:t>
      </w:r>
    </w:p>
    <w:p w14:paraId="0D4BD740" w14:textId="77777777" w:rsidR="00256A88" w:rsidRDefault="00000000">
      <w:pPr>
        <w:pStyle w:val="TableText"/>
        <w:spacing w:line="360" w:lineRule="auto"/>
        <w:ind w:firstLineChars="200" w:firstLine="482"/>
        <w:rPr>
          <w:rFonts w:hint="eastAsia"/>
          <w:b/>
          <w:bCs/>
          <w:sz w:val="24"/>
          <w:szCs w:val="24"/>
          <w:lang w:eastAsia="zh-CN"/>
        </w:rPr>
      </w:pPr>
      <w:r>
        <w:rPr>
          <w:rFonts w:hint="eastAsia"/>
          <w:b/>
          <w:bCs/>
          <w:sz w:val="24"/>
          <w:szCs w:val="24"/>
          <w:lang w:eastAsia="zh-CN"/>
        </w:rPr>
        <w:t>（三）大赛案例</w:t>
      </w:r>
    </w:p>
    <w:p w14:paraId="318D68B9"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1.案例选取</w:t>
      </w:r>
    </w:p>
    <w:p w14:paraId="18F75D12"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案例均选自司法实践中的真实案例，并进行相应改编以符合大赛可辩性的要求。</w:t>
      </w:r>
    </w:p>
    <w:p w14:paraId="64BA498A"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2.案例发放</w:t>
      </w:r>
    </w:p>
    <w:p w14:paraId="59A41058"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初赛设一个民事法律案例，复赛设一个刑事案例，半决赛、决赛设一个刑事案例，初赛案例在发布报名信息时发布，复赛、半决赛、决赛案例均在比赛前10天发放。</w:t>
      </w:r>
    </w:p>
    <w:p w14:paraId="0613D850"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3.案例修正</w:t>
      </w:r>
    </w:p>
    <w:p w14:paraId="425E2E75"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各参赛队伍对于各轮比赛所使用的案例材料如有内容不明之处，应于案例发布后3天内以邮件形式反馈至组委会邮箱，组委会秘书处将酌情对需要澄清的问题进行解答。正式比赛中所使用的案例事实以解答确认的内容为标准。</w:t>
      </w:r>
    </w:p>
    <w:p w14:paraId="32291D97" w14:textId="77777777" w:rsidR="00256A88" w:rsidRDefault="00000000">
      <w:pPr>
        <w:pStyle w:val="TableText"/>
        <w:spacing w:line="360" w:lineRule="auto"/>
        <w:ind w:firstLineChars="200" w:firstLine="482"/>
        <w:rPr>
          <w:rFonts w:hint="eastAsia"/>
          <w:b/>
          <w:bCs/>
          <w:sz w:val="24"/>
          <w:szCs w:val="24"/>
          <w:lang w:eastAsia="zh-CN"/>
        </w:rPr>
      </w:pPr>
      <w:r>
        <w:rPr>
          <w:rFonts w:hint="eastAsia"/>
          <w:b/>
          <w:bCs/>
          <w:sz w:val="24"/>
          <w:szCs w:val="24"/>
          <w:lang w:eastAsia="zh-CN"/>
        </w:rPr>
        <w:t>（四）大赛评审</w:t>
      </w:r>
    </w:p>
    <w:p w14:paraId="6E60F096"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1.评审专家应当坚持公平性、公正性、专业性、客观性、独立性、尊重性原则，履行评审职责。</w:t>
      </w:r>
    </w:p>
    <w:p w14:paraId="17FA9651"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2.评审专家应当根据大赛组委会提供的评判标准对参赛队伍进行评判，主要包括法律分析准确性、逻辑性与条理性、创新性、规范性等维度。</w:t>
      </w:r>
    </w:p>
    <w:p w14:paraId="03656397" w14:textId="77777777" w:rsidR="00256A88" w:rsidRDefault="00000000">
      <w:pPr>
        <w:pStyle w:val="TableText"/>
        <w:spacing w:line="360" w:lineRule="auto"/>
        <w:ind w:firstLineChars="200" w:firstLine="482"/>
        <w:rPr>
          <w:rFonts w:hint="eastAsia"/>
          <w:b/>
          <w:bCs/>
          <w:sz w:val="24"/>
          <w:szCs w:val="24"/>
          <w:lang w:eastAsia="zh-CN"/>
        </w:rPr>
      </w:pPr>
      <w:r>
        <w:rPr>
          <w:rFonts w:hint="eastAsia"/>
          <w:b/>
          <w:bCs/>
          <w:sz w:val="24"/>
          <w:szCs w:val="24"/>
          <w:lang w:eastAsia="zh-CN"/>
        </w:rPr>
        <w:t>（五）法律意见书竞赛规则</w:t>
      </w:r>
    </w:p>
    <w:p w14:paraId="63AA5A3D"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1.法律意见书的提交</w:t>
      </w:r>
    </w:p>
    <w:p w14:paraId="1954D3D1"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各队应针对组委会发布的案例根据抽签时所确认的持方撰写法律意见书。报道时，参赛队伍根据初赛抽签时所确认的持方提交法律意见书纸质版和电子版，待定队伍提交正方意见。其中，纸质版一式五份直接提交至报到处，电子版的法律意见书提交至组委会电子邮箱：</w:t>
      </w:r>
      <w:r>
        <w:rPr>
          <w:rFonts w:ascii="Times New Roman" w:hAnsi="Times New Roman" w:cs="Times New Roman"/>
          <w:sz w:val="24"/>
          <w:szCs w:val="24"/>
          <w:lang w:eastAsia="zh-CN"/>
        </w:rPr>
        <w:t>hnnualds@163.com</w:t>
      </w:r>
      <w:r>
        <w:rPr>
          <w:rFonts w:hint="eastAsia"/>
          <w:sz w:val="24"/>
          <w:szCs w:val="24"/>
          <w:lang w:eastAsia="zh-CN"/>
        </w:rPr>
        <w:t>。如果电子版和纸质版存在区别，以纸质版为准。法律意见书正文中不得透露参赛队伍的任何信息，且提交后不得修改。</w:t>
      </w:r>
    </w:p>
    <w:p w14:paraId="664EC3DA"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2.法律意见书的格式：</w:t>
      </w:r>
    </w:p>
    <w:p w14:paraId="76BC749C"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lastRenderedPageBreak/>
        <w:t>法律意见书采用A4纸规格，装订成册。只有封面内容可以包含参赛队伍的信息。封面内容包括：</w:t>
      </w:r>
    </w:p>
    <w:p w14:paraId="36D26C86"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（1）标题：【持方＋学校名称＋队伍编号】，如：正方法律意见书XX大学A1。格式为：宋体，小二号，居中加粗。</w:t>
      </w:r>
    </w:p>
    <w:p w14:paraId="419A213A"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（2）指导老师</w:t>
      </w:r>
    </w:p>
    <w:p w14:paraId="50F99206"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（3）参赛队员</w:t>
      </w:r>
    </w:p>
    <w:p w14:paraId="1163D5DC"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正文格式为：宋体，小四号，1.5倍行距。</w:t>
      </w:r>
    </w:p>
    <w:p w14:paraId="3E101F0E"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3.法律意见书内容：</w:t>
      </w:r>
    </w:p>
    <w:p w14:paraId="0B843687"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（1）阐明诉求、所依据的事实及理由、适用的法律依据。</w:t>
      </w:r>
    </w:p>
    <w:p w14:paraId="6A2C95BC"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（2）以比赛题目及相关附件提供的事实作为依据。</w:t>
      </w:r>
    </w:p>
    <w:p w14:paraId="4B792C15"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（3）以现行有效的法律规则作为法律依据。</w:t>
      </w:r>
    </w:p>
    <w:p w14:paraId="029CF2DB"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（4）引用学术观点应以脚注形式标明出处。</w:t>
      </w:r>
    </w:p>
    <w:p w14:paraId="5A1D6B23"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4.法律意见书评审环节：</w:t>
      </w:r>
    </w:p>
    <w:p w14:paraId="35A404AB"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根据评审工作小组的安排，法律意见书评审实行匿名评审。秘书处将参赛队伍的法律意见书匿名提交评委评阅。评委根据法律意见书竞赛评分规则评分。秘书处根据评委给出的分数确定每一份法律意见书的排名情况。</w:t>
      </w:r>
    </w:p>
    <w:p w14:paraId="7053F4A0"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评委评阅过程中，如发现法律意见书内容涉嫌抄袭、剽窃等情形的，评委应及时将该情形向秘书处书面说明。秘书处应将该书面说明呈交给评审工作小组审核。经审核，确认该份法律意见书确实有抄袭、剽窃等情形的，评审工作小组应制作审核情况说明书，并将其交至秘书处。秘书处应将审核情况说明书通知该法律意见书参赛队伍的领队。</w:t>
      </w:r>
    </w:p>
    <w:p w14:paraId="5FDC9C87"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参赛队伍对审核情况说明书有异议的，应形成书面的异议说明，并将其交至秘书处。秘书处应将收到的异议说明书交至专家委员会，专家委员会应于收到异议说明书之日起2日内确认法律意见书是否存在抄袭、剽窃的情形。专家委员会的决定是最终决定，如果专家委员会认为存在抄袭、剽窃的情形，秘书处应根据该决定取消该参赛队伍的参赛资格。</w:t>
      </w:r>
    </w:p>
    <w:p w14:paraId="2D6DD15E" w14:textId="77777777" w:rsidR="00256A88" w:rsidRDefault="00000000">
      <w:pPr>
        <w:pStyle w:val="TableText"/>
        <w:spacing w:line="360" w:lineRule="auto"/>
        <w:ind w:firstLineChars="200" w:firstLine="482"/>
        <w:rPr>
          <w:rFonts w:hint="eastAsia"/>
          <w:b/>
          <w:bCs/>
          <w:sz w:val="24"/>
          <w:szCs w:val="24"/>
          <w:lang w:eastAsia="zh-CN"/>
        </w:rPr>
      </w:pPr>
      <w:r>
        <w:rPr>
          <w:rFonts w:hint="eastAsia"/>
          <w:b/>
          <w:bCs/>
          <w:sz w:val="24"/>
          <w:szCs w:val="24"/>
          <w:lang w:eastAsia="zh-CN"/>
        </w:rPr>
        <w:t>（六）言词辩论竞赛规则</w:t>
      </w:r>
    </w:p>
    <w:p w14:paraId="6905D352"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言词辩论竞赛初赛、复赛及半决赛、决赛均采用淘汰制，由评委对两支竞赛队伍打分，得分高者胜出。初赛时，17支参赛队伍抽签，签分为A、B、LO三</w:t>
      </w:r>
      <w:r>
        <w:rPr>
          <w:rFonts w:hint="eastAsia"/>
          <w:sz w:val="24"/>
          <w:szCs w:val="24"/>
          <w:lang w:eastAsia="zh-CN"/>
        </w:rPr>
        <w:lastRenderedPageBreak/>
        <w:t>种，A为正方，B为反方，L0为轮空队伍。其中A和B以A1……A8、B1……B8对应序号两两比赛，如A1与B1对抗、A2与B2对抗，以此类推，产生8支获胜队伍；在晋级的8支队伍中得分最低的队伍(如有多支分数相同的队伍则抽签决定)同L0进行比赛，胜者进入复赛。复赛8支队伍抽签，签分为C、D两种，C为正方，D为反方，抽到对应序号签的队伍两两比赛，如C1与D1对抗、C2与D2对抗，以此类推，决出4支获胜后进入半决赛。半决赛继续抽签，签分为E、F两种，E为正方，F为反方，E1与F1对抗，E2与F2对抗，决出两支队伍进入决赛，进行冠军争夺。</w:t>
      </w:r>
    </w:p>
    <w:p w14:paraId="1F88D844"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各参赛队伍只有3名队员能够上场参加言词辩论竞赛。</w:t>
      </w:r>
    </w:p>
    <w:p w14:paraId="5FDD7C9F"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每一场竞赛配备主持人1名、计时员1名。主持人负责竞赛按规定进行。计时员负责各方陈述和反驳的时间控制，应于每一阶段时间结束前30秒给予发言方提示。</w:t>
      </w:r>
    </w:p>
    <w:p w14:paraId="4F02CA62"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1.竞赛程序</w:t>
      </w:r>
    </w:p>
    <w:p w14:paraId="391AFDA6"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比赛双方应基于案件材料确定的事实基础进行案件辩论。言词辩论竞赛过程中，双方不得使用比赛案件材料以外的任何展示品，包括图画、文字、声音、电子设备等各种形式的展示品，一切的陈述及答辩限于口头方式。言词辩论竞赛阶段的各部分应于限定时间内完成。如超过时间限制而参赛队员仍在发言，主持人有权强制其停止发言，并宣布进入下一阶段。具体程序如下：</w:t>
      </w:r>
    </w:p>
    <w:p w14:paraId="5B81A04C"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（1）立论环节，先由正方发表立论（时间为8分钟），再由反方发表立论（时间为8分钟）。每方发言用时余30秒时，计时员以一次短促铃声提醒；时间到，计时员以两次短促铃声终止发言；</w:t>
      </w:r>
    </w:p>
    <w:p w14:paraId="16EF5908"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2）自由辩论环节，双方综合自己的陈述及对方陈述的观点和理由，有针对性地进行辩论（每方发言时间累计不超过10分钟）。在辩论阶段，双方参赛队员均可参与辩论。辩论顺序是先正方发言，后反方发言，接下来双方进行辩论，每方每名选手发言次数不得少于3次。发言计时从主持人宣布“计时开始”后开始，一方发言选手落座为对方发言开始的计时标志，不得出现同一方队员交替发言的情况，若有间断，累计计时照常进行；若一方时间已经用完，另一方可以继续发言，也可以向主持人示意放弃发言；</w:t>
      </w:r>
    </w:p>
    <w:p w14:paraId="77373E14"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lastRenderedPageBreak/>
        <w:t>（3）总结陈词环节，先由反方总结陈词（时间为5分钟），再由正方总结陈词（时间为5分钟）。每方发言用时剩余30秒时，计时员以一次短促铃声提醒；计时结束时，计时员以两次短促铃声终止发言。</w:t>
      </w:r>
    </w:p>
    <w:p w14:paraId="1D556B9F"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（4）评委向竞赛双方各提一个问题，各方回答的时间均不得超过5分钟。</w:t>
      </w:r>
    </w:p>
    <w:p w14:paraId="710E6B08"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（5）评审工作小组安排的评委应根据言词辩论竞赛评分规则对参赛队伍和选手表现进行评分。</w:t>
      </w:r>
    </w:p>
    <w:p w14:paraId="512CFB8E"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2.观赛规定</w:t>
      </w:r>
    </w:p>
    <w:p w14:paraId="45BB54EC"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现场言词辩论竞赛的所有场次，将限制观赛人数。为维持赛场良好秩序，创造优良的赛场环境，组委会秘书处可根据实际情况做出适当调整。</w:t>
      </w:r>
    </w:p>
    <w:p w14:paraId="3EB5AF83"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3.录音与录像</w:t>
      </w:r>
    </w:p>
    <w:p w14:paraId="5B1AFCE5"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组委会有权就竞赛事务进行录音和录像，且无向参赛者提供该影音数据的义务。</w:t>
      </w:r>
    </w:p>
    <w:p w14:paraId="3564C1E5"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参赛队伍及旁听人员录音录像需征得对方队伍及组委会同意且需遵从组委会的要求与规定。</w:t>
      </w:r>
    </w:p>
    <w:p w14:paraId="756F4CD3"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4.赛场规则</w:t>
      </w:r>
    </w:p>
    <w:p w14:paraId="49E3244D"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参赛队伍人员需至少提前5分钟入场并签到，进行赛前准备。</w:t>
      </w:r>
    </w:p>
    <w:p w14:paraId="29F47C4F"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5.保密规定</w:t>
      </w:r>
    </w:p>
    <w:p w14:paraId="2351B07A"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比赛期间，任何队员不得以任何形式将与代表队有关的任何信息（如个人姓名、所在学校等）透露给评委，违反者取消参赛资格。</w:t>
      </w:r>
    </w:p>
    <w:p w14:paraId="0FEC00A1" w14:textId="77777777" w:rsidR="00256A88" w:rsidRDefault="00000000">
      <w:pPr>
        <w:spacing w:line="360" w:lineRule="auto"/>
        <w:rPr>
          <w:rFonts w:ascii="Times New Roman" w:eastAsia="宋体" w:hAnsi="Times New Roman" w:cs="Times New Roman"/>
          <w:b/>
          <w:bCs/>
          <w:sz w:val="28"/>
          <w:szCs w:val="28"/>
        </w:rPr>
      </w:pPr>
      <w:r>
        <w:rPr>
          <w:rFonts w:ascii="Times New Roman" w:eastAsia="宋体" w:hAnsi="Times New Roman" w:cs="Times New Roman" w:hint="eastAsia"/>
          <w:b/>
          <w:bCs/>
          <w:sz w:val="28"/>
          <w:szCs w:val="28"/>
        </w:rPr>
        <w:t>七、评判规则</w:t>
      </w:r>
    </w:p>
    <w:p w14:paraId="6BE0DED4" w14:textId="77777777" w:rsidR="00256A88" w:rsidRDefault="00000000">
      <w:pPr>
        <w:pStyle w:val="TableText"/>
        <w:spacing w:line="360" w:lineRule="auto"/>
        <w:ind w:firstLineChars="200" w:firstLine="482"/>
        <w:rPr>
          <w:rFonts w:hint="eastAsia"/>
          <w:b/>
          <w:bCs/>
          <w:sz w:val="24"/>
          <w:szCs w:val="24"/>
          <w:lang w:eastAsia="zh-CN"/>
        </w:rPr>
      </w:pPr>
      <w:r>
        <w:rPr>
          <w:rFonts w:hint="eastAsia"/>
          <w:b/>
          <w:bCs/>
          <w:sz w:val="24"/>
          <w:szCs w:val="24"/>
          <w:lang w:eastAsia="zh-CN"/>
        </w:rPr>
        <w:t>（一）法律意见书竞赛</w:t>
      </w:r>
    </w:p>
    <w:p w14:paraId="2CD149A7" w14:textId="77777777" w:rsidR="00256A88" w:rsidRDefault="00000000">
      <w:pPr>
        <w:pStyle w:val="TableText"/>
        <w:spacing w:line="360" w:lineRule="auto"/>
        <w:ind w:firstLineChars="200" w:firstLine="480"/>
        <w:rPr>
          <w:rFonts w:hint="eastAsia"/>
          <w:color w:val="auto"/>
          <w:sz w:val="24"/>
          <w:szCs w:val="24"/>
          <w:lang w:eastAsia="zh-CN"/>
        </w:rPr>
      </w:pPr>
      <w:r>
        <w:rPr>
          <w:rFonts w:hint="eastAsia"/>
          <w:sz w:val="24"/>
          <w:szCs w:val="24"/>
          <w:lang w:eastAsia="zh-CN"/>
        </w:rPr>
        <w:t>评分采用百分制。总分100分，分为实体内容（60分）、文书格式（20分）、语言文字（20分）。五位评委分别对每一份法律意见书进行独立评分。评分结束后，去掉一个最高分和一个最低分，计算剩余分数的平均分。根据得分高低排名产生9份获奖文书。</w:t>
      </w:r>
      <w:r>
        <w:rPr>
          <w:rFonts w:hint="eastAsia"/>
          <w:color w:val="auto"/>
          <w:sz w:val="24"/>
          <w:szCs w:val="24"/>
          <w:lang w:eastAsia="zh-CN"/>
        </w:rPr>
        <w:t>若出现平分情况，则由评委投票决定排名。</w:t>
      </w:r>
    </w:p>
    <w:p w14:paraId="74034F07" w14:textId="77777777" w:rsidR="00256A88" w:rsidRDefault="00000000">
      <w:pPr>
        <w:pStyle w:val="TableText"/>
        <w:spacing w:line="360" w:lineRule="auto"/>
        <w:ind w:firstLineChars="200" w:firstLine="482"/>
        <w:rPr>
          <w:rFonts w:hint="eastAsia"/>
          <w:b/>
          <w:bCs/>
          <w:sz w:val="24"/>
          <w:szCs w:val="24"/>
          <w:lang w:eastAsia="zh-CN"/>
        </w:rPr>
      </w:pPr>
      <w:r>
        <w:rPr>
          <w:rFonts w:hint="eastAsia"/>
          <w:b/>
          <w:bCs/>
          <w:sz w:val="24"/>
          <w:szCs w:val="24"/>
          <w:lang w:eastAsia="zh-CN"/>
        </w:rPr>
        <w:t>（二）言词辩论竞赛</w:t>
      </w:r>
    </w:p>
    <w:p w14:paraId="3DFBA4B2"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评议方式为评委对每一场次参赛的两支队伍进行打分，比赛采取计分制，总分100分，分为立论（25分）、自由辩论（30分）、总结陈词（25分）、团队配合（10分）和综合印象（10分）。评分客观公正，依据评委组给出分数的平</w:t>
      </w:r>
      <w:r>
        <w:rPr>
          <w:rFonts w:hint="eastAsia"/>
          <w:sz w:val="24"/>
          <w:szCs w:val="24"/>
          <w:lang w:eastAsia="zh-CN"/>
        </w:rPr>
        <w:lastRenderedPageBreak/>
        <w:t>均值高低决定该场比赛的优胜方，进入下一轮，直至决出一等奖。此外，</w:t>
      </w:r>
      <w:r>
        <w:rPr>
          <w:sz w:val="24"/>
          <w:szCs w:val="24"/>
          <w:lang w:eastAsia="zh-CN"/>
        </w:rPr>
        <w:t>初赛阶段，评委</w:t>
      </w:r>
      <w:r>
        <w:rPr>
          <w:rFonts w:hint="eastAsia"/>
          <w:sz w:val="24"/>
          <w:szCs w:val="24"/>
          <w:lang w:eastAsia="zh-CN"/>
        </w:rPr>
        <w:t>将</w:t>
      </w:r>
      <w:r>
        <w:rPr>
          <w:sz w:val="24"/>
          <w:szCs w:val="24"/>
          <w:lang w:eastAsia="zh-CN"/>
        </w:rPr>
        <w:t>依据各参赛队伍成员的综合表现，从各队中选拔出17名优秀辩手；决赛阶段，评委将根据两支队伍全体成员的综合水平，评选出本届比赛的最佳辩手。</w:t>
      </w:r>
    </w:p>
    <w:p w14:paraId="79EA22E4" w14:textId="77777777" w:rsidR="00256A88" w:rsidRDefault="00000000">
      <w:pPr>
        <w:pStyle w:val="TableText"/>
        <w:spacing w:line="360" w:lineRule="auto"/>
        <w:ind w:firstLineChars="200" w:firstLine="482"/>
        <w:rPr>
          <w:rFonts w:hint="eastAsia"/>
          <w:b/>
          <w:bCs/>
          <w:sz w:val="24"/>
          <w:szCs w:val="24"/>
          <w:lang w:eastAsia="zh-CN"/>
        </w:rPr>
      </w:pPr>
      <w:r>
        <w:rPr>
          <w:rFonts w:hint="eastAsia"/>
          <w:b/>
          <w:bCs/>
          <w:sz w:val="24"/>
          <w:szCs w:val="24"/>
          <w:lang w:eastAsia="zh-CN"/>
        </w:rPr>
        <w:t>（三）其他规则</w:t>
      </w:r>
    </w:p>
    <w:p w14:paraId="26498A0D"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1.未按规定时间提交法律意见书的，不得参加现场言词辩论竞赛。</w:t>
      </w:r>
    </w:p>
    <w:p w14:paraId="6E41ED10"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2.代表队缺席言词辩论竞赛或者迟到10分钟以上的，视为退出竞赛。领队未按规定参与抽签的，视为放弃相应资格。</w:t>
      </w:r>
    </w:p>
    <w:p w14:paraId="72305E91"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3.代表队及其队员出现下列严重违反比赛规则的行为的，予以退赛或取消竞赛成绩处理：</w:t>
      </w:r>
    </w:p>
    <w:p w14:paraId="44A8E646"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（1）存在任何形式的作弊行为；</w:t>
      </w:r>
    </w:p>
    <w:p w14:paraId="1E96E02D"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（2）严重违反言词辩论规范的；</w:t>
      </w:r>
    </w:p>
    <w:p w14:paraId="1D22E289"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（3）与评委进行可能影响竞赛结果的交流；</w:t>
      </w:r>
    </w:p>
    <w:p w14:paraId="5E59607C" w14:textId="77777777" w:rsidR="00256A88" w:rsidRDefault="00000000">
      <w:pPr>
        <w:pStyle w:val="TableText"/>
        <w:spacing w:line="360" w:lineRule="auto"/>
        <w:ind w:firstLineChars="200" w:firstLine="480"/>
        <w:rPr>
          <w:rFonts w:hint="eastAsia"/>
          <w:sz w:val="24"/>
          <w:szCs w:val="24"/>
          <w:lang w:eastAsia="zh-CN"/>
        </w:rPr>
      </w:pPr>
      <w:r>
        <w:rPr>
          <w:rFonts w:hint="eastAsia"/>
          <w:sz w:val="24"/>
          <w:szCs w:val="24"/>
          <w:lang w:eastAsia="zh-CN"/>
        </w:rPr>
        <w:t>（4）其他组委会认为严重违反竞赛规则的。</w:t>
      </w:r>
    </w:p>
    <w:p w14:paraId="25D75029" w14:textId="77777777" w:rsidR="00256A88" w:rsidRDefault="00000000">
      <w:pPr>
        <w:pStyle w:val="TableText"/>
        <w:spacing w:line="360" w:lineRule="auto"/>
        <w:ind w:firstLineChars="200" w:firstLine="482"/>
        <w:rPr>
          <w:rFonts w:hint="eastAsia"/>
          <w:b/>
          <w:bCs/>
          <w:sz w:val="24"/>
          <w:szCs w:val="24"/>
          <w:lang w:eastAsia="zh-CN"/>
        </w:rPr>
      </w:pPr>
      <w:r>
        <w:rPr>
          <w:rFonts w:hint="eastAsia"/>
          <w:b/>
          <w:bCs/>
          <w:sz w:val="24"/>
          <w:szCs w:val="24"/>
          <w:lang w:eastAsia="zh-CN"/>
        </w:rPr>
        <w:t>（四）异议处理</w:t>
      </w:r>
    </w:p>
    <w:p w14:paraId="502B09F0" w14:textId="77777777" w:rsidR="00256A88" w:rsidRDefault="00000000">
      <w:pPr>
        <w:pStyle w:val="TableText"/>
        <w:spacing w:line="360" w:lineRule="auto"/>
        <w:ind w:firstLineChars="200" w:firstLine="480"/>
        <w:rPr>
          <w:rFonts w:hint="eastAsia"/>
          <w:sz w:val="24"/>
          <w:szCs w:val="24"/>
          <w:lang w:eastAsia="zh-CN"/>
        </w:rPr>
      </w:pPr>
      <w:r>
        <w:rPr>
          <w:sz w:val="24"/>
          <w:szCs w:val="24"/>
          <w:lang w:eastAsia="zh-CN"/>
        </w:rPr>
        <w:t>比赛双方对评审小组评判结果等相关事宜存有异议，本场比赛结束后1小时内以书面形式向专家委员会提出明确的疑问及理由，专家委员会视情况决定维持或变更相关事宜，并对该决定做出解释。</w:t>
      </w:r>
    </w:p>
    <w:p w14:paraId="1E291C3F" w14:textId="77777777" w:rsidR="00256A88" w:rsidRDefault="00000000">
      <w:pPr>
        <w:widowControl/>
        <w:jc w:val="left"/>
        <w:rPr>
          <w:rFonts w:ascii="Times New Roman" w:eastAsia="宋体" w:hAnsi="Times New Roman" w:cs="Times New Roman"/>
          <w:b/>
          <w:bCs/>
          <w:sz w:val="28"/>
          <w:szCs w:val="28"/>
        </w:rPr>
      </w:pPr>
      <w:r>
        <w:rPr>
          <w:rFonts w:ascii="Times New Roman" w:eastAsia="宋体" w:hAnsi="Times New Roman" w:cs="Times New Roman"/>
          <w:b/>
          <w:bCs/>
          <w:sz w:val="28"/>
          <w:szCs w:val="28"/>
        </w:rPr>
        <w:br w:type="page"/>
      </w:r>
    </w:p>
    <w:p w14:paraId="2A2D717B" w14:textId="77777777" w:rsidR="00256A88" w:rsidRDefault="00256A88">
      <w:pPr>
        <w:widowControl/>
        <w:jc w:val="left"/>
        <w:rPr>
          <w:rFonts w:ascii="Times New Roman" w:eastAsia="宋体" w:hAnsi="Times New Roman" w:cs="Times New Roman"/>
          <w:b/>
          <w:bCs/>
          <w:sz w:val="28"/>
          <w:szCs w:val="28"/>
        </w:rPr>
      </w:pPr>
    </w:p>
    <w:p w14:paraId="2C67584C" w14:textId="77777777" w:rsidR="00256A88" w:rsidRDefault="00000000">
      <w:pPr>
        <w:spacing w:line="360" w:lineRule="auto"/>
        <w:rPr>
          <w:rFonts w:ascii="Times New Roman" w:eastAsia="宋体" w:hAnsi="Times New Roman" w:cs="Times New Roman"/>
          <w:b/>
          <w:bCs/>
          <w:sz w:val="28"/>
          <w:szCs w:val="28"/>
        </w:rPr>
      </w:pPr>
      <w:r>
        <w:rPr>
          <w:rFonts w:ascii="Times New Roman" w:eastAsia="宋体" w:hAnsi="Times New Roman" w:cs="Times New Roman" w:hint="eastAsia"/>
          <w:b/>
          <w:bCs/>
          <w:sz w:val="28"/>
          <w:szCs w:val="28"/>
        </w:rPr>
        <w:t>附件一</w:t>
      </w:r>
    </w:p>
    <w:p w14:paraId="13B32292" w14:textId="77777777" w:rsidR="00256A88" w:rsidRDefault="00000000">
      <w:pPr>
        <w:spacing w:line="360" w:lineRule="auto"/>
        <w:jc w:val="center"/>
        <w:rPr>
          <w:rFonts w:ascii="楷体" w:eastAsia="楷体" w:hAnsi="楷体" w:cs="Times New Roman" w:hint="eastAsia"/>
          <w:b/>
          <w:bCs/>
          <w:sz w:val="28"/>
          <w:szCs w:val="28"/>
        </w:rPr>
      </w:pPr>
      <w:r>
        <w:rPr>
          <w:rFonts w:ascii="楷体" w:eastAsia="楷体" w:hAnsi="楷体" w:cs="Times New Roman" w:hint="eastAsia"/>
          <w:b/>
          <w:bCs/>
          <w:sz w:val="28"/>
          <w:szCs w:val="28"/>
        </w:rPr>
        <w:t>第九届湖南省研究生法律案例大赛赛程表</w:t>
      </w:r>
    </w:p>
    <w:p w14:paraId="5A41EF0A" w14:textId="77777777" w:rsidR="00256A88" w:rsidRDefault="00000000">
      <w:pPr>
        <w:spacing w:line="360" w:lineRule="auto"/>
        <w:jc w:val="center"/>
        <w:rPr>
          <w:rFonts w:ascii="楷体" w:eastAsia="楷体" w:hAnsi="楷体" w:cs="Times New Roman" w:hint="eastAsia"/>
          <w:b/>
          <w:bCs/>
          <w:sz w:val="28"/>
          <w:szCs w:val="28"/>
        </w:rPr>
      </w:pPr>
      <w:r>
        <w:rPr>
          <w:rFonts w:ascii="楷体" w:eastAsia="楷体" w:hAnsi="楷体" w:cs="Times New Roman" w:hint="eastAsia"/>
          <w:b/>
          <w:bCs/>
          <w:noProof/>
          <w:sz w:val="28"/>
          <w:szCs w:val="28"/>
        </w:rPr>
        <w:drawing>
          <wp:inline distT="0" distB="0" distL="114300" distR="114300" wp14:anchorId="03C0C394" wp14:editId="151BC43C">
            <wp:extent cx="5273675" cy="7127240"/>
            <wp:effectExtent l="0" t="0" r="3175" b="6985"/>
            <wp:docPr id="4" name="图片 4" descr="事项安排时间表3.0(1) - 副本_Shee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事项安排时间表3.0(1) - 副本_Sheet1"/>
                    <pic:cNvPicPr>
                      <a:picLocks noChangeAspect="1"/>
                    </pic:cNvPicPr>
                  </pic:nvPicPr>
                  <pic:blipFill>
                    <a:blip r:embed="rId9"/>
                    <a:stretch>
                      <a:fillRect/>
                    </a:stretch>
                  </pic:blipFill>
                  <pic:spPr>
                    <a:xfrm>
                      <a:off x="0" y="0"/>
                      <a:ext cx="5273675" cy="7127240"/>
                    </a:xfrm>
                    <a:prstGeom prst="rect">
                      <a:avLst/>
                    </a:prstGeom>
                  </pic:spPr>
                </pic:pic>
              </a:graphicData>
            </a:graphic>
          </wp:inline>
        </w:drawing>
      </w:r>
    </w:p>
    <w:p w14:paraId="2E7C2EB9" w14:textId="77777777" w:rsidR="00256A88" w:rsidRDefault="00000000">
      <w:pPr>
        <w:rPr>
          <w:rFonts w:ascii="宋体" w:eastAsia="宋体" w:hAnsi="宋体" w:cs="黑体" w:hint="eastAsia"/>
          <w:b/>
          <w:bCs/>
          <w:sz w:val="28"/>
          <w:szCs w:val="28"/>
        </w:rPr>
      </w:pPr>
      <w:r>
        <w:rPr>
          <w:rFonts w:ascii="宋体" w:eastAsia="宋体" w:hAnsi="宋体" w:cs="黑体" w:hint="eastAsia"/>
          <w:b/>
          <w:bCs/>
          <w:sz w:val="28"/>
          <w:szCs w:val="28"/>
        </w:rPr>
        <w:lastRenderedPageBreak/>
        <w:t>附件二</w:t>
      </w:r>
    </w:p>
    <w:p w14:paraId="6D192BBF" w14:textId="77777777" w:rsidR="00256A88" w:rsidRDefault="00000000">
      <w:pPr>
        <w:pStyle w:val="1"/>
        <w:widowControl/>
        <w:shd w:val="clear" w:color="auto" w:fill="FFFFFF"/>
        <w:spacing w:afterLines="50" w:after="156" w:line="600" w:lineRule="exact"/>
        <w:jc w:val="center"/>
        <w:rPr>
          <w:rFonts w:ascii="楷体" w:eastAsia="楷体" w:hAnsi="楷体" w:cs="微软雅黑" w:hint="eastAsia"/>
          <w:b w:val="0"/>
          <w:bCs w:val="0"/>
          <w:color w:val="333333"/>
          <w:sz w:val="36"/>
          <w:szCs w:val="36"/>
        </w:rPr>
      </w:pPr>
      <w:r>
        <w:rPr>
          <w:rFonts w:ascii="楷体" w:eastAsia="楷体" w:hAnsi="楷体" w:cs="方正小标宋简体"/>
          <w:b w:val="0"/>
          <w:bCs w:val="0"/>
          <w:color w:val="333333"/>
          <w:sz w:val="36"/>
          <w:szCs w:val="36"/>
          <w:shd w:val="clear" w:color="auto" w:fill="FFFFFF"/>
        </w:rPr>
        <w:t>第九届</w:t>
      </w:r>
      <w:r>
        <w:rPr>
          <w:rFonts w:ascii="楷体" w:eastAsia="楷体" w:hAnsi="楷体" w:cs="方正小标宋简体" w:hint="eastAsia"/>
          <w:b w:val="0"/>
          <w:bCs w:val="0"/>
          <w:color w:val="333333"/>
          <w:sz w:val="36"/>
          <w:szCs w:val="36"/>
          <w:shd w:val="clear" w:color="auto" w:fill="FFFFFF"/>
        </w:rPr>
        <w:t>湖南省</w:t>
      </w:r>
      <w:r>
        <w:rPr>
          <w:rFonts w:ascii="楷体" w:eastAsia="楷体" w:hAnsi="楷体" w:cs="方正小标宋简体"/>
          <w:b w:val="0"/>
          <w:bCs w:val="0"/>
          <w:color w:val="333333"/>
          <w:sz w:val="36"/>
          <w:szCs w:val="36"/>
          <w:shd w:val="clear" w:color="auto" w:fill="FFFFFF"/>
        </w:rPr>
        <w:t>研究生法律案例大赛报名表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531"/>
        <w:gridCol w:w="794"/>
        <w:gridCol w:w="449"/>
        <w:gridCol w:w="1108"/>
        <w:gridCol w:w="1318"/>
        <w:gridCol w:w="857"/>
        <w:gridCol w:w="692"/>
        <w:gridCol w:w="672"/>
        <w:gridCol w:w="1875"/>
      </w:tblGrid>
      <w:tr w:rsidR="00256A88" w14:paraId="7415697F" w14:textId="77777777">
        <w:trPr>
          <w:trHeight w:val="624"/>
        </w:trPr>
        <w:tc>
          <w:tcPr>
            <w:tcW w:w="1806" w:type="dxa"/>
            <w:gridSpan w:val="3"/>
            <w:tcBorders>
              <w:tl2br w:val="nil"/>
              <w:tr2bl w:val="nil"/>
            </w:tcBorders>
            <w:shd w:val="clear" w:color="auto" w:fill="FFFFFF"/>
            <w:tcMar>
              <w:left w:w="105" w:type="dxa"/>
              <w:right w:w="105" w:type="dxa"/>
            </w:tcMar>
            <w:vAlign w:val="center"/>
          </w:tcPr>
          <w:p w14:paraId="79B03598"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学校（公章）</w:t>
            </w:r>
          </w:p>
        </w:tc>
        <w:tc>
          <w:tcPr>
            <w:tcW w:w="6710" w:type="dxa"/>
            <w:gridSpan w:val="6"/>
            <w:tcBorders>
              <w:tl2br w:val="nil"/>
              <w:tr2bl w:val="nil"/>
            </w:tcBorders>
            <w:shd w:val="clear" w:color="auto" w:fill="FFFFFF"/>
            <w:tcMar>
              <w:left w:w="105" w:type="dxa"/>
              <w:right w:w="105" w:type="dxa"/>
            </w:tcMar>
            <w:vAlign w:val="center"/>
          </w:tcPr>
          <w:p w14:paraId="7805081E" w14:textId="77777777" w:rsidR="00256A88" w:rsidRDefault="00256A88">
            <w:pPr>
              <w:widowControl/>
              <w:rPr>
                <w:rFonts w:ascii="微软雅黑" w:eastAsia="微软雅黑" w:hAnsi="微软雅黑" w:cs="微软雅黑" w:hint="eastAsia"/>
                <w:color w:val="333333"/>
                <w:sz w:val="24"/>
              </w:rPr>
            </w:pPr>
          </w:p>
        </w:tc>
      </w:tr>
      <w:tr w:rsidR="00256A88" w14:paraId="7EF6CEBB" w14:textId="77777777">
        <w:trPr>
          <w:trHeight w:val="624"/>
        </w:trPr>
        <w:tc>
          <w:tcPr>
            <w:tcW w:w="8516" w:type="dxa"/>
            <w:gridSpan w:val="9"/>
            <w:tcBorders>
              <w:tl2br w:val="nil"/>
              <w:tr2bl w:val="nil"/>
            </w:tcBorders>
            <w:shd w:val="clear" w:color="auto" w:fill="FFFFFF"/>
            <w:tcMar>
              <w:left w:w="105" w:type="dxa"/>
              <w:right w:w="105" w:type="dxa"/>
            </w:tcMar>
            <w:vAlign w:val="center"/>
          </w:tcPr>
          <w:p w14:paraId="747D1E0D"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参赛队队名：</w:t>
            </w:r>
          </w:p>
        </w:tc>
      </w:tr>
      <w:tr w:rsidR="00256A88" w14:paraId="283976C6" w14:textId="77777777">
        <w:trPr>
          <w:trHeight w:val="624"/>
        </w:trPr>
        <w:tc>
          <w:tcPr>
            <w:tcW w:w="8516" w:type="dxa"/>
            <w:gridSpan w:val="9"/>
            <w:tcBorders>
              <w:tl2br w:val="nil"/>
              <w:tr2bl w:val="nil"/>
            </w:tcBorders>
            <w:shd w:val="clear" w:color="auto" w:fill="FFFFFF"/>
            <w:tcMar>
              <w:left w:w="105" w:type="dxa"/>
              <w:right w:w="105" w:type="dxa"/>
            </w:tcMar>
            <w:vAlign w:val="center"/>
          </w:tcPr>
          <w:p w14:paraId="5D65DF6E"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参赛类别：</w:t>
            </w:r>
          </w:p>
        </w:tc>
      </w:tr>
      <w:tr w:rsidR="00256A88" w14:paraId="3FC8415E" w14:textId="77777777">
        <w:trPr>
          <w:trHeight w:val="624"/>
        </w:trPr>
        <w:tc>
          <w:tcPr>
            <w:tcW w:w="1806" w:type="dxa"/>
            <w:gridSpan w:val="3"/>
            <w:tcBorders>
              <w:tl2br w:val="nil"/>
              <w:tr2bl w:val="nil"/>
            </w:tcBorders>
            <w:shd w:val="clear" w:color="auto" w:fill="FFFFFF"/>
            <w:tcMar>
              <w:left w:w="105" w:type="dxa"/>
              <w:right w:w="105" w:type="dxa"/>
            </w:tcMar>
            <w:vAlign w:val="center"/>
          </w:tcPr>
          <w:p w14:paraId="3F8E4E6A" w14:textId="77777777" w:rsidR="00256A88" w:rsidRDefault="00000000">
            <w:pPr>
              <w:pStyle w:val="a7"/>
              <w:widowControl/>
              <w:spacing w:beforeAutospacing="0" w:afterAutospacing="0" w:line="510" w:lineRule="atLeast"/>
              <w:ind w:firstLine="225"/>
              <w:jc w:val="both"/>
              <w:rPr>
                <w:rFonts w:ascii="微软雅黑" w:eastAsia="微软雅黑" w:hAnsi="微软雅黑" w:cs="微软雅黑" w:hint="eastAsia"/>
                <w:color w:val="333333"/>
                <w:szCs w:val="24"/>
              </w:rPr>
            </w:pPr>
            <w:r>
              <w:rPr>
                <w:rFonts w:ascii="宋体" w:eastAsia="宋体" w:hAnsi="宋体" w:cs="宋体" w:hint="eastAsia"/>
                <w:color w:val="333333"/>
                <w:szCs w:val="24"/>
              </w:rPr>
              <w:t>领   队</w:t>
            </w:r>
          </w:p>
        </w:tc>
        <w:tc>
          <w:tcPr>
            <w:tcW w:w="2501" w:type="dxa"/>
            <w:gridSpan w:val="2"/>
            <w:tcBorders>
              <w:tl2br w:val="nil"/>
              <w:tr2bl w:val="nil"/>
            </w:tcBorders>
            <w:shd w:val="clear" w:color="auto" w:fill="FFFFFF"/>
            <w:tcMar>
              <w:left w:w="105" w:type="dxa"/>
              <w:right w:w="105" w:type="dxa"/>
            </w:tcMar>
            <w:vAlign w:val="center"/>
          </w:tcPr>
          <w:p w14:paraId="51631318" w14:textId="77777777" w:rsidR="00256A88" w:rsidRDefault="00256A88">
            <w:pPr>
              <w:widowControl/>
              <w:rPr>
                <w:rFonts w:ascii="微软雅黑" w:eastAsia="微软雅黑" w:hAnsi="微软雅黑" w:cs="微软雅黑" w:hint="eastAsia"/>
                <w:color w:val="333333"/>
                <w:sz w:val="24"/>
              </w:rPr>
            </w:pPr>
          </w:p>
        </w:tc>
        <w:tc>
          <w:tcPr>
            <w:tcW w:w="1582" w:type="dxa"/>
            <w:gridSpan w:val="2"/>
            <w:tcBorders>
              <w:tl2br w:val="nil"/>
              <w:tr2bl w:val="nil"/>
            </w:tcBorders>
            <w:shd w:val="clear" w:color="auto" w:fill="FFFFFF"/>
            <w:tcMar>
              <w:left w:w="105" w:type="dxa"/>
              <w:right w:w="105" w:type="dxa"/>
            </w:tcMar>
            <w:vAlign w:val="center"/>
          </w:tcPr>
          <w:p w14:paraId="60E070B5"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联系电话</w:t>
            </w:r>
          </w:p>
        </w:tc>
        <w:tc>
          <w:tcPr>
            <w:tcW w:w="2627" w:type="dxa"/>
            <w:gridSpan w:val="2"/>
            <w:tcBorders>
              <w:tl2br w:val="nil"/>
              <w:tr2bl w:val="nil"/>
            </w:tcBorders>
            <w:shd w:val="clear" w:color="auto" w:fill="FFFFFF"/>
            <w:tcMar>
              <w:left w:w="105" w:type="dxa"/>
              <w:right w:w="105" w:type="dxa"/>
            </w:tcMar>
            <w:vAlign w:val="center"/>
          </w:tcPr>
          <w:p w14:paraId="1D50CCA9" w14:textId="77777777" w:rsidR="00256A88" w:rsidRDefault="00256A88">
            <w:pPr>
              <w:widowControl/>
              <w:rPr>
                <w:rFonts w:ascii="微软雅黑" w:eastAsia="微软雅黑" w:hAnsi="微软雅黑" w:cs="微软雅黑" w:hint="eastAsia"/>
                <w:color w:val="333333"/>
                <w:sz w:val="24"/>
              </w:rPr>
            </w:pPr>
          </w:p>
        </w:tc>
      </w:tr>
      <w:tr w:rsidR="00256A88" w14:paraId="521E2C96" w14:textId="77777777">
        <w:trPr>
          <w:trHeight w:val="624"/>
        </w:trPr>
        <w:tc>
          <w:tcPr>
            <w:tcW w:w="1806" w:type="dxa"/>
            <w:gridSpan w:val="3"/>
            <w:tcBorders>
              <w:tl2br w:val="nil"/>
              <w:tr2bl w:val="nil"/>
            </w:tcBorders>
            <w:shd w:val="clear" w:color="auto" w:fill="FFFFFF"/>
            <w:tcMar>
              <w:left w:w="105" w:type="dxa"/>
              <w:right w:w="105" w:type="dxa"/>
            </w:tcMar>
            <w:vAlign w:val="center"/>
          </w:tcPr>
          <w:p w14:paraId="0080820D"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指导教师</w:t>
            </w:r>
            <w:r>
              <w:rPr>
                <w:rFonts w:ascii="Times New Roman" w:eastAsia="宋体" w:hAnsi="Times New Roman" w:cs="宋体" w:hint="eastAsia"/>
                <w:color w:val="333333"/>
                <w:szCs w:val="24"/>
              </w:rPr>
              <w:t>1</w:t>
            </w:r>
          </w:p>
        </w:tc>
        <w:tc>
          <w:tcPr>
            <w:tcW w:w="2501" w:type="dxa"/>
            <w:gridSpan w:val="2"/>
            <w:tcBorders>
              <w:tl2br w:val="nil"/>
              <w:tr2bl w:val="nil"/>
            </w:tcBorders>
            <w:shd w:val="clear" w:color="auto" w:fill="FFFFFF"/>
            <w:tcMar>
              <w:left w:w="105" w:type="dxa"/>
              <w:right w:w="105" w:type="dxa"/>
            </w:tcMar>
            <w:vAlign w:val="center"/>
          </w:tcPr>
          <w:p w14:paraId="5D09EA76" w14:textId="77777777" w:rsidR="00256A88" w:rsidRDefault="00256A88">
            <w:pPr>
              <w:widowControl/>
              <w:rPr>
                <w:rFonts w:ascii="微软雅黑" w:eastAsia="微软雅黑" w:hAnsi="微软雅黑" w:cs="微软雅黑" w:hint="eastAsia"/>
                <w:color w:val="333333"/>
                <w:sz w:val="24"/>
              </w:rPr>
            </w:pPr>
          </w:p>
        </w:tc>
        <w:tc>
          <w:tcPr>
            <w:tcW w:w="1582" w:type="dxa"/>
            <w:gridSpan w:val="2"/>
            <w:tcBorders>
              <w:tl2br w:val="nil"/>
              <w:tr2bl w:val="nil"/>
            </w:tcBorders>
            <w:shd w:val="clear" w:color="auto" w:fill="FFFFFF"/>
            <w:tcMar>
              <w:left w:w="105" w:type="dxa"/>
              <w:right w:w="105" w:type="dxa"/>
            </w:tcMar>
            <w:vAlign w:val="center"/>
          </w:tcPr>
          <w:p w14:paraId="6074A47B"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联系邮箱</w:t>
            </w:r>
          </w:p>
        </w:tc>
        <w:tc>
          <w:tcPr>
            <w:tcW w:w="2627" w:type="dxa"/>
            <w:gridSpan w:val="2"/>
            <w:tcBorders>
              <w:tl2br w:val="nil"/>
              <w:tr2bl w:val="nil"/>
            </w:tcBorders>
            <w:shd w:val="clear" w:color="auto" w:fill="FFFFFF"/>
            <w:tcMar>
              <w:left w:w="105" w:type="dxa"/>
              <w:right w:w="105" w:type="dxa"/>
            </w:tcMar>
            <w:vAlign w:val="center"/>
          </w:tcPr>
          <w:p w14:paraId="75D6F266" w14:textId="77777777" w:rsidR="00256A88" w:rsidRDefault="00256A88">
            <w:pPr>
              <w:widowControl/>
              <w:rPr>
                <w:rFonts w:ascii="微软雅黑" w:eastAsia="微软雅黑" w:hAnsi="微软雅黑" w:cs="微软雅黑" w:hint="eastAsia"/>
                <w:color w:val="333333"/>
                <w:sz w:val="24"/>
              </w:rPr>
            </w:pPr>
          </w:p>
        </w:tc>
      </w:tr>
      <w:tr w:rsidR="00256A88" w14:paraId="0B864D2D" w14:textId="77777777">
        <w:trPr>
          <w:trHeight w:val="624"/>
        </w:trPr>
        <w:tc>
          <w:tcPr>
            <w:tcW w:w="1806" w:type="dxa"/>
            <w:gridSpan w:val="3"/>
            <w:tcBorders>
              <w:tl2br w:val="nil"/>
              <w:tr2bl w:val="nil"/>
            </w:tcBorders>
            <w:shd w:val="clear" w:color="auto" w:fill="FFFFFF"/>
            <w:tcMar>
              <w:left w:w="105" w:type="dxa"/>
              <w:right w:w="105" w:type="dxa"/>
            </w:tcMar>
            <w:vAlign w:val="center"/>
          </w:tcPr>
          <w:p w14:paraId="6AA1684E"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指导教师</w:t>
            </w:r>
            <w:r>
              <w:rPr>
                <w:rFonts w:ascii="Times New Roman" w:eastAsia="宋体" w:hAnsi="Times New Roman" w:cs="宋体" w:hint="eastAsia"/>
                <w:color w:val="333333"/>
                <w:szCs w:val="24"/>
              </w:rPr>
              <w:t>2</w:t>
            </w:r>
          </w:p>
        </w:tc>
        <w:tc>
          <w:tcPr>
            <w:tcW w:w="2501" w:type="dxa"/>
            <w:gridSpan w:val="2"/>
            <w:tcBorders>
              <w:tl2br w:val="nil"/>
              <w:tr2bl w:val="nil"/>
            </w:tcBorders>
            <w:shd w:val="clear" w:color="auto" w:fill="FFFFFF"/>
            <w:tcMar>
              <w:left w:w="105" w:type="dxa"/>
              <w:right w:w="105" w:type="dxa"/>
            </w:tcMar>
            <w:vAlign w:val="center"/>
          </w:tcPr>
          <w:p w14:paraId="4D2B752A" w14:textId="77777777" w:rsidR="00256A88" w:rsidRDefault="00256A88">
            <w:pPr>
              <w:widowControl/>
              <w:rPr>
                <w:rFonts w:ascii="微软雅黑" w:eastAsia="微软雅黑" w:hAnsi="微软雅黑" w:cs="微软雅黑" w:hint="eastAsia"/>
                <w:color w:val="333333"/>
                <w:sz w:val="24"/>
              </w:rPr>
            </w:pPr>
          </w:p>
        </w:tc>
        <w:tc>
          <w:tcPr>
            <w:tcW w:w="1582" w:type="dxa"/>
            <w:gridSpan w:val="2"/>
            <w:tcBorders>
              <w:tl2br w:val="nil"/>
              <w:tr2bl w:val="nil"/>
            </w:tcBorders>
            <w:shd w:val="clear" w:color="auto" w:fill="FFFFFF"/>
            <w:tcMar>
              <w:left w:w="105" w:type="dxa"/>
              <w:right w:w="105" w:type="dxa"/>
            </w:tcMar>
            <w:vAlign w:val="center"/>
          </w:tcPr>
          <w:p w14:paraId="173ABDA1"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联系邮箱</w:t>
            </w:r>
          </w:p>
        </w:tc>
        <w:tc>
          <w:tcPr>
            <w:tcW w:w="2627" w:type="dxa"/>
            <w:gridSpan w:val="2"/>
            <w:tcBorders>
              <w:tl2br w:val="nil"/>
              <w:tr2bl w:val="nil"/>
            </w:tcBorders>
            <w:shd w:val="clear" w:color="auto" w:fill="FFFFFF"/>
            <w:tcMar>
              <w:left w:w="105" w:type="dxa"/>
              <w:right w:w="105" w:type="dxa"/>
            </w:tcMar>
            <w:vAlign w:val="center"/>
          </w:tcPr>
          <w:p w14:paraId="43897625" w14:textId="77777777" w:rsidR="00256A88" w:rsidRDefault="00256A88">
            <w:pPr>
              <w:widowControl/>
              <w:rPr>
                <w:rFonts w:ascii="微软雅黑" w:eastAsia="微软雅黑" w:hAnsi="微软雅黑" w:cs="微软雅黑" w:hint="eastAsia"/>
                <w:color w:val="333333"/>
                <w:sz w:val="24"/>
              </w:rPr>
            </w:pPr>
          </w:p>
        </w:tc>
      </w:tr>
      <w:tr w:rsidR="00256A88" w14:paraId="78CB037D" w14:textId="77777777">
        <w:trPr>
          <w:trHeight w:val="624"/>
        </w:trPr>
        <w:tc>
          <w:tcPr>
            <w:tcW w:w="531" w:type="dxa"/>
            <w:vMerge w:val="restart"/>
            <w:tcBorders>
              <w:tl2br w:val="nil"/>
              <w:tr2bl w:val="nil"/>
            </w:tcBorders>
            <w:shd w:val="clear" w:color="auto" w:fill="FFFFFF"/>
            <w:tcMar>
              <w:left w:w="105" w:type="dxa"/>
              <w:right w:w="105" w:type="dxa"/>
            </w:tcMar>
            <w:vAlign w:val="center"/>
          </w:tcPr>
          <w:p w14:paraId="3A4B61C2"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队</w:t>
            </w:r>
          </w:p>
          <w:p w14:paraId="78F221F8"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员</w:t>
            </w:r>
          </w:p>
          <w:p w14:paraId="7C0E26C5"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列</w:t>
            </w:r>
          </w:p>
          <w:p w14:paraId="45F24130"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表</w:t>
            </w:r>
          </w:p>
        </w:tc>
        <w:tc>
          <w:tcPr>
            <w:tcW w:w="1275" w:type="dxa"/>
            <w:gridSpan w:val="2"/>
            <w:tcBorders>
              <w:tl2br w:val="nil"/>
              <w:tr2bl w:val="nil"/>
            </w:tcBorders>
            <w:shd w:val="clear" w:color="auto" w:fill="FFFFFF"/>
            <w:tcMar>
              <w:left w:w="105" w:type="dxa"/>
              <w:right w:w="105" w:type="dxa"/>
            </w:tcMar>
            <w:vAlign w:val="center"/>
          </w:tcPr>
          <w:p w14:paraId="79BB9E62" w14:textId="77777777" w:rsidR="00256A88" w:rsidRDefault="00000000">
            <w:pPr>
              <w:pStyle w:val="a7"/>
              <w:widowControl/>
              <w:spacing w:beforeAutospacing="0" w:afterAutospacing="0" w:line="510" w:lineRule="atLeast"/>
              <w:ind w:left="15"/>
              <w:jc w:val="center"/>
              <w:rPr>
                <w:rFonts w:ascii="微软雅黑" w:eastAsia="微软雅黑" w:hAnsi="微软雅黑" w:cs="微软雅黑" w:hint="eastAsia"/>
                <w:color w:val="333333"/>
                <w:szCs w:val="24"/>
              </w:rPr>
            </w:pPr>
            <w:r>
              <w:rPr>
                <w:rFonts w:ascii="宋体" w:eastAsia="宋体" w:hAnsi="宋体" w:cs="宋体" w:hint="eastAsia"/>
                <w:color w:val="333333"/>
                <w:szCs w:val="24"/>
              </w:rPr>
              <w:t>姓名</w:t>
            </w:r>
          </w:p>
        </w:tc>
        <w:tc>
          <w:tcPr>
            <w:tcW w:w="1134" w:type="dxa"/>
            <w:tcBorders>
              <w:tl2br w:val="nil"/>
              <w:tr2bl w:val="nil"/>
            </w:tcBorders>
            <w:shd w:val="clear" w:color="auto" w:fill="FFFFFF"/>
            <w:tcMar>
              <w:left w:w="105" w:type="dxa"/>
              <w:right w:w="105" w:type="dxa"/>
            </w:tcMar>
            <w:vAlign w:val="center"/>
          </w:tcPr>
          <w:p w14:paraId="2DB80E8A" w14:textId="77777777" w:rsidR="00256A88" w:rsidRDefault="00000000">
            <w:pPr>
              <w:pStyle w:val="a7"/>
              <w:widowControl/>
              <w:spacing w:beforeAutospacing="0" w:afterAutospacing="0" w:line="510" w:lineRule="atLeast"/>
              <w:jc w:val="center"/>
              <w:rPr>
                <w:rFonts w:ascii="微软雅黑" w:eastAsia="微软雅黑" w:hAnsi="微软雅黑" w:cs="微软雅黑" w:hint="eastAsia"/>
                <w:color w:val="333333"/>
                <w:szCs w:val="24"/>
              </w:rPr>
            </w:pPr>
            <w:r>
              <w:rPr>
                <w:rFonts w:ascii="宋体" w:eastAsia="宋体" w:hAnsi="宋体" w:cs="宋体" w:hint="eastAsia"/>
                <w:color w:val="333333"/>
                <w:szCs w:val="24"/>
              </w:rPr>
              <w:t>性别</w:t>
            </w:r>
          </w:p>
        </w:tc>
        <w:tc>
          <w:tcPr>
            <w:tcW w:w="2244" w:type="dxa"/>
            <w:gridSpan w:val="2"/>
            <w:tcBorders>
              <w:tl2br w:val="nil"/>
              <w:tr2bl w:val="nil"/>
            </w:tcBorders>
            <w:shd w:val="clear" w:color="auto" w:fill="FFFFFF"/>
            <w:tcMar>
              <w:left w:w="105" w:type="dxa"/>
              <w:right w:w="105" w:type="dxa"/>
            </w:tcMar>
            <w:vAlign w:val="center"/>
          </w:tcPr>
          <w:p w14:paraId="09127E35" w14:textId="77777777" w:rsidR="00256A88" w:rsidRDefault="00000000">
            <w:pPr>
              <w:pStyle w:val="a7"/>
              <w:widowControl/>
              <w:spacing w:beforeAutospacing="0" w:afterAutospacing="0" w:line="510" w:lineRule="atLeast"/>
              <w:jc w:val="center"/>
              <w:rPr>
                <w:rFonts w:ascii="微软雅黑" w:eastAsia="微软雅黑" w:hAnsi="微软雅黑" w:cs="微软雅黑" w:hint="eastAsia"/>
                <w:color w:val="333333"/>
                <w:szCs w:val="24"/>
              </w:rPr>
            </w:pPr>
            <w:r>
              <w:rPr>
                <w:rFonts w:ascii="宋体" w:eastAsia="宋体" w:hAnsi="宋体" w:cs="宋体" w:hint="eastAsia"/>
                <w:color w:val="333333"/>
                <w:szCs w:val="24"/>
              </w:rPr>
              <w:t>身份证号码</w:t>
            </w:r>
          </w:p>
        </w:tc>
        <w:tc>
          <w:tcPr>
            <w:tcW w:w="1400" w:type="dxa"/>
            <w:gridSpan w:val="2"/>
            <w:tcBorders>
              <w:tl2br w:val="nil"/>
              <w:tr2bl w:val="nil"/>
            </w:tcBorders>
            <w:shd w:val="clear" w:color="auto" w:fill="FFFFFF"/>
            <w:tcMar>
              <w:left w:w="105" w:type="dxa"/>
              <w:right w:w="105" w:type="dxa"/>
            </w:tcMar>
            <w:vAlign w:val="center"/>
          </w:tcPr>
          <w:p w14:paraId="258061F7" w14:textId="77777777" w:rsidR="00256A88" w:rsidRDefault="00000000">
            <w:pPr>
              <w:pStyle w:val="a7"/>
              <w:widowControl/>
              <w:spacing w:beforeAutospacing="0" w:afterAutospacing="0" w:line="510" w:lineRule="atLeast"/>
              <w:ind w:left="30"/>
              <w:jc w:val="center"/>
              <w:rPr>
                <w:rFonts w:ascii="微软雅黑" w:eastAsia="微软雅黑" w:hAnsi="微软雅黑" w:cs="微软雅黑" w:hint="eastAsia"/>
                <w:color w:val="333333"/>
                <w:szCs w:val="24"/>
              </w:rPr>
            </w:pPr>
            <w:r>
              <w:rPr>
                <w:rFonts w:ascii="宋体" w:eastAsia="宋体" w:hAnsi="宋体" w:cs="宋体" w:hint="eastAsia"/>
                <w:color w:val="333333"/>
                <w:szCs w:val="24"/>
              </w:rPr>
              <w:t>就读专业</w:t>
            </w:r>
          </w:p>
        </w:tc>
        <w:tc>
          <w:tcPr>
            <w:tcW w:w="1932" w:type="dxa"/>
            <w:tcBorders>
              <w:tl2br w:val="nil"/>
              <w:tr2bl w:val="nil"/>
            </w:tcBorders>
            <w:shd w:val="clear" w:color="auto" w:fill="FFFFFF"/>
            <w:tcMar>
              <w:left w:w="105" w:type="dxa"/>
              <w:right w:w="105" w:type="dxa"/>
            </w:tcMar>
            <w:vAlign w:val="center"/>
          </w:tcPr>
          <w:p w14:paraId="493B08BC" w14:textId="77777777" w:rsidR="00256A88" w:rsidRDefault="00000000">
            <w:pPr>
              <w:pStyle w:val="a7"/>
              <w:widowControl/>
              <w:spacing w:beforeAutospacing="0" w:afterAutospacing="0" w:line="510" w:lineRule="atLeast"/>
              <w:jc w:val="center"/>
              <w:rPr>
                <w:rFonts w:ascii="微软雅黑" w:eastAsia="微软雅黑" w:hAnsi="微软雅黑" w:cs="微软雅黑" w:hint="eastAsia"/>
                <w:color w:val="333333"/>
                <w:szCs w:val="24"/>
              </w:rPr>
            </w:pPr>
            <w:r>
              <w:rPr>
                <w:rFonts w:ascii="宋体" w:eastAsia="宋体" w:hAnsi="宋体" w:cs="宋体" w:hint="eastAsia"/>
                <w:color w:val="333333"/>
                <w:szCs w:val="24"/>
              </w:rPr>
              <w:t>联系电话</w:t>
            </w:r>
          </w:p>
        </w:tc>
      </w:tr>
      <w:tr w:rsidR="00256A88" w14:paraId="676C4944" w14:textId="77777777">
        <w:trPr>
          <w:trHeight w:val="624"/>
        </w:trPr>
        <w:tc>
          <w:tcPr>
            <w:tcW w:w="531" w:type="dxa"/>
            <w:vMerge/>
            <w:tcBorders>
              <w:tl2br w:val="nil"/>
              <w:tr2bl w:val="nil"/>
            </w:tcBorders>
            <w:shd w:val="clear" w:color="auto" w:fill="FFFFFF"/>
            <w:tcMar>
              <w:left w:w="105" w:type="dxa"/>
              <w:right w:w="105" w:type="dxa"/>
            </w:tcMar>
            <w:vAlign w:val="center"/>
          </w:tcPr>
          <w:p w14:paraId="1F51C188" w14:textId="77777777" w:rsidR="00256A88" w:rsidRDefault="00256A88">
            <w:pPr>
              <w:rPr>
                <w:rFonts w:ascii="微软雅黑" w:eastAsia="微软雅黑" w:hAnsi="微软雅黑" w:cs="微软雅黑" w:hint="eastAsia"/>
                <w:color w:val="333333"/>
                <w:sz w:val="24"/>
              </w:rPr>
            </w:pPr>
          </w:p>
        </w:tc>
        <w:tc>
          <w:tcPr>
            <w:tcW w:w="1275" w:type="dxa"/>
            <w:gridSpan w:val="2"/>
            <w:tcBorders>
              <w:tl2br w:val="nil"/>
              <w:tr2bl w:val="nil"/>
            </w:tcBorders>
            <w:shd w:val="clear" w:color="auto" w:fill="FFFFFF"/>
            <w:tcMar>
              <w:left w:w="105" w:type="dxa"/>
              <w:right w:w="105" w:type="dxa"/>
            </w:tcMar>
            <w:vAlign w:val="center"/>
          </w:tcPr>
          <w:p w14:paraId="1E7A4045" w14:textId="77777777" w:rsidR="00256A88" w:rsidRDefault="00256A88">
            <w:pPr>
              <w:widowControl/>
              <w:rPr>
                <w:rFonts w:ascii="微软雅黑" w:eastAsia="微软雅黑" w:hAnsi="微软雅黑" w:cs="微软雅黑" w:hint="eastAsia"/>
                <w:color w:val="333333"/>
                <w:sz w:val="24"/>
              </w:rPr>
            </w:pPr>
          </w:p>
        </w:tc>
        <w:tc>
          <w:tcPr>
            <w:tcW w:w="1134" w:type="dxa"/>
            <w:tcBorders>
              <w:tl2br w:val="nil"/>
              <w:tr2bl w:val="nil"/>
            </w:tcBorders>
            <w:shd w:val="clear" w:color="auto" w:fill="FFFFFF"/>
            <w:tcMar>
              <w:left w:w="105" w:type="dxa"/>
              <w:right w:w="105" w:type="dxa"/>
            </w:tcMar>
            <w:vAlign w:val="center"/>
          </w:tcPr>
          <w:p w14:paraId="530063F1" w14:textId="77777777" w:rsidR="00256A88" w:rsidRDefault="00256A88">
            <w:pPr>
              <w:widowControl/>
              <w:rPr>
                <w:rFonts w:ascii="微软雅黑" w:eastAsia="微软雅黑" w:hAnsi="微软雅黑" w:cs="微软雅黑" w:hint="eastAsia"/>
                <w:color w:val="333333"/>
                <w:sz w:val="24"/>
              </w:rPr>
            </w:pPr>
          </w:p>
        </w:tc>
        <w:tc>
          <w:tcPr>
            <w:tcW w:w="2244" w:type="dxa"/>
            <w:gridSpan w:val="2"/>
            <w:tcBorders>
              <w:tl2br w:val="nil"/>
              <w:tr2bl w:val="nil"/>
            </w:tcBorders>
            <w:shd w:val="clear" w:color="auto" w:fill="FFFFFF"/>
            <w:tcMar>
              <w:left w:w="105" w:type="dxa"/>
              <w:right w:w="105" w:type="dxa"/>
            </w:tcMar>
            <w:vAlign w:val="center"/>
          </w:tcPr>
          <w:p w14:paraId="5106FC53" w14:textId="77777777" w:rsidR="00256A88" w:rsidRDefault="00256A88">
            <w:pPr>
              <w:widowControl/>
              <w:rPr>
                <w:rFonts w:ascii="微软雅黑" w:eastAsia="微软雅黑" w:hAnsi="微软雅黑" w:cs="微软雅黑" w:hint="eastAsia"/>
                <w:color w:val="333333"/>
                <w:sz w:val="24"/>
              </w:rPr>
            </w:pPr>
          </w:p>
        </w:tc>
        <w:tc>
          <w:tcPr>
            <w:tcW w:w="1400" w:type="dxa"/>
            <w:gridSpan w:val="2"/>
            <w:tcBorders>
              <w:tl2br w:val="nil"/>
              <w:tr2bl w:val="nil"/>
            </w:tcBorders>
            <w:shd w:val="clear" w:color="auto" w:fill="FFFFFF"/>
            <w:tcMar>
              <w:left w:w="105" w:type="dxa"/>
              <w:right w:w="105" w:type="dxa"/>
            </w:tcMar>
            <w:vAlign w:val="center"/>
          </w:tcPr>
          <w:p w14:paraId="140AEBF3" w14:textId="77777777" w:rsidR="00256A88" w:rsidRDefault="00256A88">
            <w:pPr>
              <w:widowControl/>
              <w:rPr>
                <w:rFonts w:ascii="微软雅黑" w:eastAsia="微软雅黑" w:hAnsi="微软雅黑" w:cs="微软雅黑" w:hint="eastAsia"/>
                <w:color w:val="333333"/>
                <w:sz w:val="24"/>
              </w:rPr>
            </w:pPr>
          </w:p>
        </w:tc>
        <w:tc>
          <w:tcPr>
            <w:tcW w:w="1932" w:type="dxa"/>
            <w:tcBorders>
              <w:tl2br w:val="nil"/>
              <w:tr2bl w:val="nil"/>
            </w:tcBorders>
            <w:shd w:val="clear" w:color="auto" w:fill="FFFFFF"/>
            <w:tcMar>
              <w:left w:w="105" w:type="dxa"/>
              <w:right w:w="105" w:type="dxa"/>
            </w:tcMar>
            <w:vAlign w:val="center"/>
          </w:tcPr>
          <w:p w14:paraId="020A7D0F" w14:textId="77777777" w:rsidR="00256A88" w:rsidRDefault="00256A88">
            <w:pPr>
              <w:widowControl/>
              <w:rPr>
                <w:rFonts w:ascii="微软雅黑" w:eastAsia="微软雅黑" w:hAnsi="微软雅黑" w:cs="微软雅黑" w:hint="eastAsia"/>
                <w:color w:val="333333"/>
                <w:sz w:val="24"/>
              </w:rPr>
            </w:pPr>
          </w:p>
        </w:tc>
      </w:tr>
      <w:tr w:rsidR="00256A88" w14:paraId="08AD85AE" w14:textId="77777777">
        <w:trPr>
          <w:trHeight w:val="624"/>
        </w:trPr>
        <w:tc>
          <w:tcPr>
            <w:tcW w:w="531" w:type="dxa"/>
            <w:vMerge/>
            <w:tcBorders>
              <w:tl2br w:val="nil"/>
              <w:tr2bl w:val="nil"/>
            </w:tcBorders>
            <w:shd w:val="clear" w:color="auto" w:fill="FFFFFF"/>
            <w:tcMar>
              <w:left w:w="105" w:type="dxa"/>
              <w:right w:w="105" w:type="dxa"/>
            </w:tcMar>
            <w:vAlign w:val="center"/>
          </w:tcPr>
          <w:p w14:paraId="4043A4F9" w14:textId="77777777" w:rsidR="00256A88" w:rsidRDefault="00256A88">
            <w:pPr>
              <w:rPr>
                <w:rFonts w:ascii="微软雅黑" w:eastAsia="微软雅黑" w:hAnsi="微软雅黑" w:cs="微软雅黑" w:hint="eastAsia"/>
                <w:color w:val="333333"/>
                <w:sz w:val="24"/>
              </w:rPr>
            </w:pPr>
          </w:p>
        </w:tc>
        <w:tc>
          <w:tcPr>
            <w:tcW w:w="1275" w:type="dxa"/>
            <w:gridSpan w:val="2"/>
            <w:tcBorders>
              <w:tl2br w:val="nil"/>
              <w:tr2bl w:val="nil"/>
            </w:tcBorders>
            <w:shd w:val="clear" w:color="auto" w:fill="FFFFFF"/>
            <w:tcMar>
              <w:left w:w="105" w:type="dxa"/>
              <w:right w:w="105" w:type="dxa"/>
            </w:tcMar>
            <w:vAlign w:val="center"/>
          </w:tcPr>
          <w:p w14:paraId="7E1CCB2E" w14:textId="77777777" w:rsidR="00256A88" w:rsidRDefault="00256A88">
            <w:pPr>
              <w:widowControl/>
              <w:rPr>
                <w:rFonts w:ascii="微软雅黑" w:eastAsia="微软雅黑" w:hAnsi="微软雅黑" w:cs="微软雅黑" w:hint="eastAsia"/>
                <w:color w:val="333333"/>
                <w:sz w:val="24"/>
              </w:rPr>
            </w:pPr>
          </w:p>
        </w:tc>
        <w:tc>
          <w:tcPr>
            <w:tcW w:w="1134" w:type="dxa"/>
            <w:tcBorders>
              <w:tl2br w:val="nil"/>
              <w:tr2bl w:val="nil"/>
            </w:tcBorders>
            <w:shd w:val="clear" w:color="auto" w:fill="FFFFFF"/>
            <w:tcMar>
              <w:left w:w="105" w:type="dxa"/>
              <w:right w:w="105" w:type="dxa"/>
            </w:tcMar>
            <w:vAlign w:val="center"/>
          </w:tcPr>
          <w:p w14:paraId="31ABA50A" w14:textId="77777777" w:rsidR="00256A88" w:rsidRDefault="00256A88">
            <w:pPr>
              <w:widowControl/>
              <w:rPr>
                <w:rFonts w:ascii="微软雅黑" w:eastAsia="微软雅黑" w:hAnsi="微软雅黑" w:cs="微软雅黑" w:hint="eastAsia"/>
                <w:color w:val="333333"/>
                <w:sz w:val="24"/>
              </w:rPr>
            </w:pPr>
          </w:p>
        </w:tc>
        <w:tc>
          <w:tcPr>
            <w:tcW w:w="2244" w:type="dxa"/>
            <w:gridSpan w:val="2"/>
            <w:tcBorders>
              <w:tl2br w:val="nil"/>
              <w:tr2bl w:val="nil"/>
            </w:tcBorders>
            <w:shd w:val="clear" w:color="auto" w:fill="FFFFFF"/>
            <w:tcMar>
              <w:left w:w="105" w:type="dxa"/>
              <w:right w:w="105" w:type="dxa"/>
            </w:tcMar>
            <w:vAlign w:val="center"/>
          </w:tcPr>
          <w:p w14:paraId="20E737E4" w14:textId="77777777" w:rsidR="00256A88" w:rsidRDefault="00256A88">
            <w:pPr>
              <w:widowControl/>
              <w:rPr>
                <w:rFonts w:ascii="微软雅黑" w:eastAsia="微软雅黑" w:hAnsi="微软雅黑" w:cs="微软雅黑" w:hint="eastAsia"/>
                <w:color w:val="333333"/>
                <w:sz w:val="24"/>
              </w:rPr>
            </w:pPr>
          </w:p>
        </w:tc>
        <w:tc>
          <w:tcPr>
            <w:tcW w:w="1400" w:type="dxa"/>
            <w:gridSpan w:val="2"/>
            <w:tcBorders>
              <w:tl2br w:val="nil"/>
              <w:tr2bl w:val="nil"/>
            </w:tcBorders>
            <w:shd w:val="clear" w:color="auto" w:fill="FFFFFF"/>
            <w:tcMar>
              <w:left w:w="105" w:type="dxa"/>
              <w:right w:w="105" w:type="dxa"/>
            </w:tcMar>
            <w:vAlign w:val="center"/>
          </w:tcPr>
          <w:p w14:paraId="6157F5B3" w14:textId="77777777" w:rsidR="00256A88" w:rsidRDefault="00256A88">
            <w:pPr>
              <w:widowControl/>
              <w:rPr>
                <w:rFonts w:ascii="微软雅黑" w:eastAsia="微软雅黑" w:hAnsi="微软雅黑" w:cs="微软雅黑" w:hint="eastAsia"/>
                <w:color w:val="333333"/>
                <w:sz w:val="24"/>
              </w:rPr>
            </w:pPr>
          </w:p>
        </w:tc>
        <w:tc>
          <w:tcPr>
            <w:tcW w:w="1932" w:type="dxa"/>
            <w:tcBorders>
              <w:tl2br w:val="nil"/>
              <w:tr2bl w:val="nil"/>
            </w:tcBorders>
            <w:shd w:val="clear" w:color="auto" w:fill="FFFFFF"/>
            <w:tcMar>
              <w:left w:w="105" w:type="dxa"/>
              <w:right w:w="105" w:type="dxa"/>
            </w:tcMar>
            <w:vAlign w:val="center"/>
          </w:tcPr>
          <w:p w14:paraId="0679C5FF" w14:textId="77777777" w:rsidR="00256A88" w:rsidRDefault="00256A88">
            <w:pPr>
              <w:widowControl/>
              <w:rPr>
                <w:rFonts w:ascii="微软雅黑" w:eastAsia="微软雅黑" w:hAnsi="微软雅黑" w:cs="微软雅黑" w:hint="eastAsia"/>
                <w:color w:val="333333"/>
                <w:sz w:val="24"/>
              </w:rPr>
            </w:pPr>
          </w:p>
        </w:tc>
      </w:tr>
      <w:tr w:rsidR="00256A88" w14:paraId="244B77F2" w14:textId="77777777">
        <w:trPr>
          <w:trHeight w:val="624"/>
        </w:trPr>
        <w:tc>
          <w:tcPr>
            <w:tcW w:w="531" w:type="dxa"/>
            <w:vMerge/>
            <w:tcBorders>
              <w:tl2br w:val="nil"/>
              <w:tr2bl w:val="nil"/>
            </w:tcBorders>
            <w:shd w:val="clear" w:color="auto" w:fill="FFFFFF"/>
            <w:tcMar>
              <w:left w:w="105" w:type="dxa"/>
              <w:right w:w="105" w:type="dxa"/>
            </w:tcMar>
            <w:vAlign w:val="center"/>
          </w:tcPr>
          <w:p w14:paraId="03EE26FA" w14:textId="77777777" w:rsidR="00256A88" w:rsidRDefault="00256A88">
            <w:pPr>
              <w:rPr>
                <w:rFonts w:ascii="微软雅黑" w:eastAsia="微软雅黑" w:hAnsi="微软雅黑" w:cs="微软雅黑" w:hint="eastAsia"/>
                <w:color w:val="333333"/>
                <w:sz w:val="24"/>
              </w:rPr>
            </w:pPr>
          </w:p>
        </w:tc>
        <w:tc>
          <w:tcPr>
            <w:tcW w:w="1275" w:type="dxa"/>
            <w:gridSpan w:val="2"/>
            <w:tcBorders>
              <w:tl2br w:val="nil"/>
              <w:tr2bl w:val="nil"/>
            </w:tcBorders>
            <w:shd w:val="clear" w:color="auto" w:fill="FFFFFF"/>
            <w:tcMar>
              <w:left w:w="105" w:type="dxa"/>
              <w:right w:w="105" w:type="dxa"/>
            </w:tcMar>
            <w:vAlign w:val="center"/>
          </w:tcPr>
          <w:p w14:paraId="6259F23A" w14:textId="77777777" w:rsidR="00256A88" w:rsidRDefault="00256A88">
            <w:pPr>
              <w:widowControl/>
              <w:rPr>
                <w:rFonts w:ascii="微软雅黑" w:eastAsia="微软雅黑" w:hAnsi="微软雅黑" w:cs="微软雅黑" w:hint="eastAsia"/>
                <w:color w:val="333333"/>
                <w:sz w:val="24"/>
              </w:rPr>
            </w:pPr>
          </w:p>
        </w:tc>
        <w:tc>
          <w:tcPr>
            <w:tcW w:w="1134" w:type="dxa"/>
            <w:tcBorders>
              <w:tl2br w:val="nil"/>
              <w:tr2bl w:val="nil"/>
            </w:tcBorders>
            <w:shd w:val="clear" w:color="auto" w:fill="FFFFFF"/>
            <w:tcMar>
              <w:left w:w="105" w:type="dxa"/>
              <w:right w:w="105" w:type="dxa"/>
            </w:tcMar>
            <w:vAlign w:val="center"/>
          </w:tcPr>
          <w:p w14:paraId="2FAE77C2" w14:textId="77777777" w:rsidR="00256A88" w:rsidRDefault="00256A88">
            <w:pPr>
              <w:widowControl/>
              <w:rPr>
                <w:rFonts w:ascii="微软雅黑" w:eastAsia="微软雅黑" w:hAnsi="微软雅黑" w:cs="微软雅黑" w:hint="eastAsia"/>
                <w:color w:val="333333"/>
                <w:sz w:val="24"/>
              </w:rPr>
            </w:pPr>
          </w:p>
        </w:tc>
        <w:tc>
          <w:tcPr>
            <w:tcW w:w="2244" w:type="dxa"/>
            <w:gridSpan w:val="2"/>
            <w:tcBorders>
              <w:tl2br w:val="nil"/>
              <w:tr2bl w:val="nil"/>
            </w:tcBorders>
            <w:shd w:val="clear" w:color="auto" w:fill="FFFFFF"/>
            <w:tcMar>
              <w:left w:w="105" w:type="dxa"/>
              <w:right w:w="105" w:type="dxa"/>
            </w:tcMar>
            <w:vAlign w:val="center"/>
          </w:tcPr>
          <w:p w14:paraId="53351B67" w14:textId="77777777" w:rsidR="00256A88" w:rsidRDefault="00256A88">
            <w:pPr>
              <w:widowControl/>
              <w:rPr>
                <w:rFonts w:ascii="微软雅黑" w:eastAsia="微软雅黑" w:hAnsi="微软雅黑" w:cs="微软雅黑" w:hint="eastAsia"/>
                <w:color w:val="333333"/>
                <w:sz w:val="24"/>
              </w:rPr>
            </w:pPr>
          </w:p>
        </w:tc>
        <w:tc>
          <w:tcPr>
            <w:tcW w:w="1400" w:type="dxa"/>
            <w:gridSpan w:val="2"/>
            <w:tcBorders>
              <w:tl2br w:val="nil"/>
              <w:tr2bl w:val="nil"/>
            </w:tcBorders>
            <w:shd w:val="clear" w:color="auto" w:fill="FFFFFF"/>
            <w:tcMar>
              <w:left w:w="105" w:type="dxa"/>
              <w:right w:w="105" w:type="dxa"/>
            </w:tcMar>
            <w:vAlign w:val="center"/>
          </w:tcPr>
          <w:p w14:paraId="376914A9" w14:textId="77777777" w:rsidR="00256A88" w:rsidRDefault="00256A88">
            <w:pPr>
              <w:widowControl/>
              <w:rPr>
                <w:rFonts w:ascii="微软雅黑" w:eastAsia="微软雅黑" w:hAnsi="微软雅黑" w:cs="微软雅黑" w:hint="eastAsia"/>
                <w:color w:val="333333"/>
                <w:sz w:val="24"/>
              </w:rPr>
            </w:pPr>
          </w:p>
        </w:tc>
        <w:tc>
          <w:tcPr>
            <w:tcW w:w="1932" w:type="dxa"/>
            <w:tcBorders>
              <w:tl2br w:val="nil"/>
              <w:tr2bl w:val="nil"/>
            </w:tcBorders>
            <w:shd w:val="clear" w:color="auto" w:fill="FFFFFF"/>
            <w:tcMar>
              <w:left w:w="105" w:type="dxa"/>
              <w:right w:w="105" w:type="dxa"/>
            </w:tcMar>
            <w:vAlign w:val="center"/>
          </w:tcPr>
          <w:p w14:paraId="554A73DB" w14:textId="77777777" w:rsidR="00256A88" w:rsidRDefault="00256A88">
            <w:pPr>
              <w:widowControl/>
              <w:rPr>
                <w:rFonts w:ascii="微软雅黑" w:eastAsia="微软雅黑" w:hAnsi="微软雅黑" w:cs="微软雅黑" w:hint="eastAsia"/>
                <w:color w:val="333333"/>
                <w:sz w:val="24"/>
              </w:rPr>
            </w:pPr>
          </w:p>
        </w:tc>
      </w:tr>
      <w:tr w:rsidR="00256A88" w14:paraId="620955BF" w14:textId="77777777">
        <w:trPr>
          <w:trHeight w:val="624"/>
        </w:trPr>
        <w:tc>
          <w:tcPr>
            <w:tcW w:w="531" w:type="dxa"/>
            <w:vMerge/>
            <w:tcBorders>
              <w:tl2br w:val="nil"/>
              <w:tr2bl w:val="nil"/>
            </w:tcBorders>
            <w:shd w:val="clear" w:color="auto" w:fill="FFFFFF"/>
            <w:tcMar>
              <w:left w:w="105" w:type="dxa"/>
              <w:right w:w="105" w:type="dxa"/>
            </w:tcMar>
            <w:vAlign w:val="center"/>
          </w:tcPr>
          <w:p w14:paraId="7E453B27" w14:textId="77777777" w:rsidR="00256A88" w:rsidRDefault="00256A88">
            <w:pPr>
              <w:rPr>
                <w:rFonts w:ascii="微软雅黑" w:eastAsia="微软雅黑" w:hAnsi="微软雅黑" w:cs="微软雅黑" w:hint="eastAsia"/>
                <w:color w:val="333333"/>
                <w:sz w:val="24"/>
              </w:rPr>
            </w:pPr>
          </w:p>
        </w:tc>
        <w:tc>
          <w:tcPr>
            <w:tcW w:w="1275" w:type="dxa"/>
            <w:gridSpan w:val="2"/>
            <w:tcBorders>
              <w:tl2br w:val="nil"/>
              <w:tr2bl w:val="nil"/>
            </w:tcBorders>
            <w:shd w:val="clear" w:color="auto" w:fill="FFFFFF"/>
            <w:tcMar>
              <w:left w:w="105" w:type="dxa"/>
              <w:right w:w="105" w:type="dxa"/>
            </w:tcMar>
            <w:vAlign w:val="center"/>
          </w:tcPr>
          <w:p w14:paraId="40FB48DE" w14:textId="77777777" w:rsidR="00256A88" w:rsidRDefault="00256A88">
            <w:pPr>
              <w:widowControl/>
              <w:rPr>
                <w:rFonts w:ascii="微软雅黑" w:eastAsia="微软雅黑" w:hAnsi="微软雅黑" w:cs="微软雅黑" w:hint="eastAsia"/>
                <w:color w:val="333333"/>
                <w:sz w:val="24"/>
              </w:rPr>
            </w:pPr>
          </w:p>
        </w:tc>
        <w:tc>
          <w:tcPr>
            <w:tcW w:w="1134" w:type="dxa"/>
            <w:tcBorders>
              <w:tl2br w:val="nil"/>
              <w:tr2bl w:val="nil"/>
            </w:tcBorders>
            <w:shd w:val="clear" w:color="auto" w:fill="FFFFFF"/>
            <w:tcMar>
              <w:left w:w="105" w:type="dxa"/>
              <w:right w:w="105" w:type="dxa"/>
            </w:tcMar>
            <w:vAlign w:val="center"/>
          </w:tcPr>
          <w:p w14:paraId="032756AD" w14:textId="77777777" w:rsidR="00256A88" w:rsidRDefault="00256A88">
            <w:pPr>
              <w:widowControl/>
              <w:rPr>
                <w:rFonts w:ascii="微软雅黑" w:eastAsia="微软雅黑" w:hAnsi="微软雅黑" w:cs="微软雅黑" w:hint="eastAsia"/>
                <w:color w:val="333333"/>
                <w:sz w:val="24"/>
              </w:rPr>
            </w:pPr>
          </w:p>
        </w:tc>
        <w:tc>
          <w:tcPr>
            <w:tcW w:w="2244" w:type="dxa"/>
            <w:gridSpan w:val="2"/>
            <w:tcBorders>
              <w:tl2br w:val="nil"/>
              <w:tr2bl w:val="nil"/>
            </w:tcBorders>
            <w:shd w:val="clear" w:color="auto" w:fill="FFFFFF"/>
            <w:tcMar>
              <w:left w:w="105" w:type="dxa"/>
              <w:right w:w="105" w:type="dxa"/>
            </w:tcMar>
            <w:vAlign w:val="center"/>
          </w:tcPr>
          <w:p w14:paraId="1734DF27" w14:textId="77777777" w:rsidR="00256A88" w:rsidRDefault="00256A88">
            <w:pPr>
              <w:widowControl/>
              <w:rPr>
                <w:rFonts w:ascii="微软雅黑" w:eastAsia="微软雅黑" w:hAnsi="微软雅黑" w:cs="微软雅黑" w:hint="eastAsia"/>
                <w:color w:val="333333"/>
                <w:sz w:val="24"/>
              </w:rPr>
            </w:pPr>
          </w:p>
        </w:tc>
        <w:tc>
          <w:tcPr>
            <w:tcW w:w="1400" w:type="dxa"/>
            <w:gridSpan w:val="2"/>
            <w:tcBorders>
              <w:tl2br w:val="nil"/>
              <w:tr2bl w:val="nil"/>
            </w:tcBorders>
            <w:shd w:val="clear" w:color="auto" w:fill="FFFFFF"/>
            <w:tcMar>
              <w:left w:w="105" w:type="dxa"/>
              <w:right w:w="105" w:type="dxa"/>
            </w:tcMar>
            <w:vAlign w:val="center"/>
          </w:tcPr>
          <w:p w14:paraId="62618667" w14:textId="77777777" w:rsidR="00256A88" w:rsidRDefault="00256A88">
            <w:pPr>
              <w:widowControl/>
              <w:rPr>
                <w:rFonts w:ascii="微软雅黑" w:eastAsia="微软雅黑" w:hAnsi="微软雅黑" w:cs="微软雅黑" w:hint="eastAsia"/>
                <w:color w:val="333333"/>
                <w:sz w:val="24"/>
              </w:rPr>
            </w:pPr>
          </w:p>
        </w:tc>
        <w:tc>
          <w:tcPr>
            <w:tcW w:w="1932" w:type="dxa"/>
            <w:tcBorders>
              <w:tl2br w:val="nil"/>
              <w:tr2bl w:val="nil"/>
            </w:tcBorders>
            <w:shd w:val="clear" w:color="auto" w:fill="FFFFFF"/>
            <w:tcMar>
              <w:left w:w="105" w:type="dxa"/>
              <w:right w:w="105" w:type="dxa"/>
            </w:tcMar>
            <w:vAlign w:val="center"/>
          </w:tcPr>
          <w:p w14:paraId="526E06D7" w14:textId="77777777" w:rsidR="00256A88" w:rsidRDefault="00256A88">
            <w:pPr>
              <w:widowControl/>
              <w:rPr>
                <w:rFonts w:ascii="微软雅黑" w:eastAsia="微软雅黑" w:hAnsi="微软雅黑" w:cs="微软雅黑" w:hint="eastAsia"/>
                <w:color w:val="333333"/>
                <w:sz w:val="24"/>
              </w:rPr>
            </w:pPr>
          </w:p>
        </w:tc>
      </w:tr>
      <w:tr w:rsidR="00256A88" w14:paraId="4685B655" w14:textId="77777777">
        <w:trPr>
          <w:trHeight w:val="2950"/>
        </w:trPr>
        <w:tc>
          <w:tcPr>
            <w:tcW w:w="2940" w:type="dxa"/>
            <w:gridSpan w:val="4"/>
            <w:tcBorders>
              <w:tl2br w:val="nil"/>
              <w:tr2bl w:val="nil"/>
            </w:tcBorders>
            <w:shd w:val="clear" w:color="auto" w:fill="FFFFFF"/>
            <w:tcMar>
              <w:left w:w="105" w:type="dxa"/>
              <w:right w:w="105" w:type="dxa"/>
            </w:tcMar>
            <w:vAlign w:val="center"/>
          </w:tcPr>
          <w:p w14:paraId="1B2B72F4"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宋体" w:eastAsia="宋体" w:hAnsi="宋体" w:cs="宋体" w:hint="eastAsia"/>
                <w:color w:val="333333"/>
                <w:szCs w:val="24"/>
              </w:rPr>
              <w:t>研究生院（处）审核意见</w:t>
            </w:r>
          </w:p>
        </w:tc>
        <w:tc>
          <w:tcPr>
            <w:tcW w:w="5576" w:type="dxa"/>
            <w:gridSpan w:val="5"/>
            <w:tcBorders>
              <w:tl2br w:val="nil"/>
              <w:tr2bl w:val="nil"/>
            </w:tcBorders>
            <w:shd w:val="clear" w:color="auto" w:fill="FFFFFF"/>
            <w:tcMar>
              <w:left w:w="105" w:type="dxa"/>
              <w:right w:w="105" w:type="dxa"/>
            </w:tcMar>
            <w:vAlign w:val="center"/>
          </w:tcPr>
          <w:p w14:paraId="6CE5CA10" w14:textId="77777777" w:rsidR="00256A88" w:rsidRDefault="00256A88">
            <w:pPr>
              <w:widowControl/>
              <w:rPr>
                <w:rFonts w:ascii="微软雅黑" w:eastAsia="微软雅黑" w:hAnsi="微软雅黑" w:cs="微软雅黑" w:hint="eastAsia"/>
                <w:color w:val="333333"/>
                <w:sz w:val="24"/>
              </w:rPr>
            </w:pPr>
          </w:p>
        </w:tc>
      </w:tr>
      <w:tr w:rsidR="00256A88" w14:paraId="508BFB15" w14:textId="77777777">
        <w:trPr>
          <w:trHeight w:val="1415"/>
        </w:trPr>
        <w:tc>
          <w:tcPr>
            <w:tcW w:w="1344" w:type="dxa"/>
            <w:gridSpan w:val="2"/>
            <w:tcBorders>
              <w:tl2br w:val="nil"/>
              <w:tr2bl w:val="nil"/>
            </w:tcBorders>
            <w:shd w:val="clear" w:color="auto" w:fill="FFFFFF"/>
            <w:tcMar>
              <w:left w:w="105" w:type="dxa"/>
              <w:right w:w="105" w:type="dxa"/>
            </w:tcMar>
            <w:vAlign w:val="center"/>
          </w:tcPr>
          <w:p w14:paraId="12B0B1B9" w14:textId="77777777" w:rsidR="00256A88" w:rsidRDefault="00000000">
            <w:pPr>
              <w:pStyle w:val="a7"/>
              <w:widowControl/>
              <w:spacing w:beforeAutospacing="0" w:afterAutospacing="0" w:line="510" w:lineRule="atLeast"/>
              <w:jc w:val="center"/>
              <w:rPr>
                <w:rFonts w:ascii="微软雅黑" w:eastAsia="微软雅黑" w:hAnsi="微软雅黑" w:cs="微软雅黑" w:hint="eastAsia"/>
                <w:color w:val="333333"/>
                <w:szCs w:val="24"/>
              </w:rPr>
            </w:pPr>
            <w:r>
              <w:rPr>
                <w:rFonts w:ascii="宋体" w:eastAsia="宋体" w:hAnsi="宋体" w:cs="宋体" w:hint="eastAsia"/>
                <w:color w:val="333333"/>
                <w:szCs w:val="24"/>
              </w:rPr>
              <w:t>备注</w:t>
            </w:r>
          </w:p>
        </w:tc>
        <w:tc>
          <w:tcPr>
            <w:tcW w:w="7172" w:type="dxa"/>
            <w:gridSpan w:val="7"/>
            <w:tcBorders>
              <w:tl2br w:val="nil"/>
              <w:tr2bl w:val="nil"/>
            </w:tcBorders>
            <w:shd w:val="clear" w:color="auto" w:fill="FFFFFF"/>
            <w:tcMar>
              <w:left w:w="105" w:type="dxa"/>
              <w:right w:w="105" w:type="dxa"/>
            </w:tcMar>
            <w:vAlign w:val="center"/>
          </w:tcPr>
          <w:p w14:paraId="1F9ECDB1"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Times New Roman" w:eastAsia="宋体" w:hAnsi="Times New Roman" w:cs="宋体" w:hint="eastAsia"/>
                <w:color w:val="333333"/>
                <w:szCs w:val="24"/>
              </w:rPr>
              <w:t>1</w:t>
            </w:r>
            <w:r>
              <w:rPr>
                <w:rFonts w:ascii="宋体" w:eastAsia="宋体" w:hAnsi="宋体" w:cs="宋体" w:hint="eastAsia"/>
                <w:color w:val="333333"/>
                <w:szCs w:val="24"/>
              </w:rPr>
              <w:t>.每支参赛队伍包括</w:t>
            </w:r>
            <w:r>
              <w:rPr>
                <w:rFonts w:ascii="Times New Roman" w:eastAsia="宋体" w:hAnsi="Times New Roman" w:cs="宋体" w:hint="eastAsia"/>
                <w:color w:val="333333"/>
                <w:szCs w:val="24"/>
              </w:rPr>
              <w:t>4</w:t>
            </w:r>
            <w:r>
              <w:rPr>
                <w:rFonts w:ascii="宋体" w:eastAsia="宋体" w:hAnsi="宋体" w:cs="宋体" w:hint="eastAsia"/>
                <w:color w:val="333333"/>
                <w:szCs w:val="24"/>
              </w:rPr>
              <w:t>名在籍研究生，领队由</w:t>
            </w:r>
            <w:r>
              <w:rPr>
                <w:rFonts w:ascii="Times New Roman" w:eastAsia="宋体" w:hAnsi="Times New Roman" w:cs="宋体" w:hint="eastAsia"/>
                <w:color w:val="333333"/>
                <w:szCs w:val="24"/>
              </w:rPr>
              <w:t>1</w:t>
            </w:r>
            <w:r>
              <w:rPr>
                <w:rFonts w:ascii="宋体" w:eastAsia="宋体" w:hAnsi="宋体" w:cs="宋体" w:hint="eastAsia"/>
                <w:color w:val="333333"/>
                <w:szCs w:val="24"/>
              </w:rPr>
              <w:t>名指导老师兼任。</w:t>
            </w:r>
          </w:p>
          <w:p w14:paraId="2A45BDB8" w14:textId="77777777" w:rsidR="00256A88" w:rsidRDefault="00000000">
            <w:pPr>
              <w:pStyle w:val="a7"/>
              <w:widowControl/>
              <w:spacing w:beforeAutospacing="0" w:afterAutospacing="0" w:line="510" w:lineRule="atLeast"/>
              <w:jc w:val="both"/>
              <w:rPr>
                <w:rFonts w:ascii="微软雅黑" w:eastAsia="微软雅黑" w:hAnsi="微软雅黑" w:cs="微软雅黑" w:hint="eastAsia"/>
                <w:color w:val="333333"/>
                <w:szCs w:val="24"/>
              </w:rPr>
            </w:pPr>
            <w:r>
              <w:rPr>
                <w:rFonts w:ascii="Times New Roman" w:eastAsia="宋体" w:hAnsi="Times New Roman" w:cs="宋体" w:hint="eastAsia"/>
                <w:color w:val="333333"/>
                <w:szCs w:val="24"/>
              </w:rPr>
              <w:t>2</w:t>
            </w:r>
            <w:r>
              <w:rPr>
                <w:rFonts w:ascii="宋体" w:eastAsia="宋体" w:hAnsi="宋体" w:cs="宋体" w:hint="eastAsia"/>
                <w:color w:val="333333"/>
                <w:szCs w:val="24"/>
              </w:rPr>
              <w:t>.参赛类别填：（</w:t>
            </w:r>
            <w:r>
              <w:rPr>
                <w:rFonts w:ascii="Times New Roman" w:eastAsia="宋体" w:hAnsi="Times New Roman" w:cs="宋体" w:hint="eastAsia"/>
                <w:color w:val="333333"/>
                <w:szCs w:val="24"/>
              </w:rPr>
              <w:t>1</w:t>
            </w:r>
            <w:r>
              <w:rPr>
                <w:rFonts w:ascii="宋体" w:eastAsia="宋体" w:hAnsi="宋体" w:cs="宋体" w:hint="eastAsia"/>
                <w:color w:val="333333"/>
                <w:szCs w:val="24"/>
              </w:rPr>
              <w:t>）法律意见书竞赛；（</w:t>
            </w:r>
            <w:r>
              <w:rPr>
                <w:rFonts w:ascii="Times New Roman" w:eastAsia="宋体" w:hAnsi="Times New Roman" w:cs="宋体" w:hint="eastAsia"/>
                <w:color w:val="333333"/>
                <w:szCs w:val="24"/>
              </w:rPr>
              <w:t>2</w:t>
            </w:r>
            <w:r>
              <w:rPr>
                <w:rFonts w:ascii="宋体" w:eastAsia="宋体" w:hAnsi="宋体" w:cs="宋体" w:hint="eastAsia"/>
                <w:color w:val="333333"/>
                <w:szCs w:val="24"/>
              </w:rPr>
              <w:t>）言词辩论竞赛。</w:t>
            </w:r>
          </w:p>
        </w:tc>
      </w:tr>
    </w:tbl>
    <w:p w14:paraId="252C3A29" w14:textId="77777777" w:rsidR="00256A88" w:rsidRDefault="00256A88">
      <w:pPr>
        <w:tabs>
          <w:tab w:val="left" w:pos="6227"/>
        </w:tabs>
        <w:rPr>
          <w:rFonts w:ascii="Times New Roman" w:eastAsia="宋体" w:hAnsi="Times New Roman" w:cs="Times New Roman"/>
          <w:sz w:val="24"/>
        </w:rPr>
      </w:pPr>
    </w:p>
    <w:sectPr w:rsidR="00256A88">
      <w:headerReference w:type="default" r:id="rId10"/>
      <w:headerReference w:type="first" r:id="rId11"/>
      <w:pgSz w:w="11906" w:h="16838"/>
      <w:pgMar w:top="1440" w:right="1800" w:bottom="1440" w:left="1800" w:header="851" w:footer="992" w:gutter="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3D10F5" w14:textId="77777777" w:rsidR="00B2528E" w:rsidRDefault="00B2528E">
      <w:r>
        <w:separator/>
      </w:r>
    </w:p>
  </w:endnote>
  <w:endnote w:type="continuationSeparator" w:id="0">
    <w:p w14:paraId="62593248" w14:textId="77777777" w:rsidR="00B2528E" w:rsidRDefault="00B252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华文新魏">
    <w:panose1 w:val="02010800040101010101"/>
    <w:charset w:val="86"/>
    <w:family w:val="auto"/>
    <w:pitch w:val="variable"/>
    <w:sig w:usb0="00000001" w:usb1="080F0000" w:usb2="00000010" w:usb3="00000000" w:csb0="00040000" w:csb1="00000000"/>
  </w:font>
  <w:font w:name="华文行楷">
    <w:panose1 w:val="02010800040101010101"/>
    <w:charset w:val="86"/>
    <w:family w:val="auto"/>
    <w:pitch w:val="variable"/>
    <w:sig w:usb0="00000001" w:usb1="080F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楷体">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方正小标宋简体">
    <w:altName w:val="微软雅黑"/>
    <w:charset w:val="86"/>
    <w:family w:val="auto"/>
    <w:pitch w:val="default"/>
    <w:sig w:usb0="00000000" w:usb1="00000000" w:usb2="00000000" w:usb3="00000000" w:csb0="00040000"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2A18BF2" w14:textId="77777777" w:rsidR="00B2528E" w:rsidRDefault="00B2528E">
      <w:r>
        <w:separator/>
      </w:r>
    </w:p>
  </w:footnote>
  <w:footnote w:type="continuationSeparator" w:id="0">
    <w:p w14:paraId="3085011F" w14:textId="77777777" w:rsidR="00B2528E" w:rsidRDefault="00B252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DCD872" w14:textId="77777777" w:rsidR="00256A88" w:rsidRDefault="00000000">
    <w:pPr>
      <w:pStyle w:val="a5"/>
      <w:jc w:val="right"/>
    </w:pPr>
    <w:r>
      <w:rPr>
        <w:rFonts w:hint="eastAsia"/>
      </w:rPr>
      <w:t xml:space="preserve">                                                  </w:t>
    </w:r>
    <w:r>
      <w:rPr>
        <w:rFonts w:hint="eastAsia"/>
        <w:noProof/>
      </w:rPr>
      <w:drawing>
        <wp:inline distT="0" distB="0" distL="114300" distR="114300" wp14:anchorId="12996B88" wp14:editId="22BEE8CB">
          <wp:extent cx="2093595" cy="541655"/>
          <wp:effectExtent l="0" t="0" r="635" b="8890"/>
          <wp:docPr id="5" name="图片 5" descr="b11bf900da62f9711ef4d9559ff51d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b11bf900da62f9711ef4d9559ff51dc3"/>
                  <pic:cNvPicPr>
                    <a:picLocks noChangeAspect="1"/>
                  </pic:cNvPicPr>
                </pic:nvPicPr>
                <pic:blipFill>
                  <a:blip r:embed="rId1"/>
                  <a:stretch>
                    <a:fillRect/>
                  </a:stretch>
                </pic:blipFill>
                <pic:spPr>
                  <a:xfrm>
                    <a:off x="0" y="0"/>
                    <a:ext cx="2093595" cy="541655"/>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B5F829" w14:textId="77777777" w:rsidR="00256A88" w:rsidRDefault="00000000">
    <w:pPr>
      <w:pStyle w:val="a5"/>
      <w:jc w:val="both"/>
    </w:pPr>
    <w:r>
      <w:rPr>
        <w:rFonts w:hint="eastAsia"/>
        <w:noProof/>
      </w:rPr>
      <w:drawing>
        <wp:inline distT="0" distB="0" distL="114300" distR="114300" wp14:anchorId="10F589EB" wp14:editId="36B8AB80">
          <wp:extent cx="1951990" cy="431800"/>
          <wp:effectExtent l="0" t="0" r="1905" b="0"/>
          <wp:docPr id="6" name="图片 6" descr="湖师大图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湖师大图标"/>
                  <pic:cNvPicPr>
                    <a:picLocks noChangeAspect="1"/>
                  </pic:cNvPicPr>
                </pic:nvPicPr>
                <pic:blipFill>
                  <a:blip r:embed="rId1"/>
                  <a:stretch>
                    <a:fillRect/>
                  </a:stretch>
                </pic:blipFill>
                <pic:spPr>
                  <a:xfrm>
                    <a:off x="0" y="0"/>
                    <a:ext cx="1951990" cy="43180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F6F78F3"/>
    <w:multiLevelType w:val="singleLevel"/>
    <w:tmpl w:val="7F6F78F3"/>
    <w:lvl w:ilvl="0">
      <w:start w:val="6"/>
      <w:numFmt w:val="chineseCounting"/>
      <w:suff w:val="nothing"/>
      <w:lvlText w:val="%1、"/>
      <w:lvlJc w:val="left"/>
      <w:rPr>
        <w:rFonts w:hint="eastAsia"/>
      </w:rPr>
    </w:lvl>
  </w:abstractNum>
  <w:num w:numId="1" w16cid:durableId="4971139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documentProtection w:edit="readOnly" w:enforcement="0"/>
  <w:defaultTabStop w:val="420"/>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23C7"/>
    <w:rsid w:val="00052110"/>
    <w:rsid w:val="00070B15"/>
    <w:rsid w:val="00114E8A"/>
    <w:rsid w:val="001836DA"/>
    <w:rsid w:val="001F3EFE"/>
    <w:rsid w:val="002207CC"/>
    <w:rsid w:val="00256A88"/>
    <w:rsid w:val="002D39E3"/>
    <w:rsid w:val="003207A1"/>
    <w:rsid w:val="00360E26"/>
    <w:rsid w:val="00386AF5"/>
    <w:rsid w:val="00431C77"/>
    <w:rsid w:val="004426FD"/>
    <w:rsid w:val="00466A38"/>
    <w:rsid w:val="005A23C7"/>
    <w:rsid w:val="005D6909"/>
    <w:rsid w:val="007849E6"/>
    <w:rsid w:val="00797C87"/>
    <w:rsid w:val="007F68AF"/>
    <w:rsid w:val="0088248E"/>
    <w:rsid w:val="008B4CEA"/>
    <w:rsid w:val="008D337F"/>
    <w:rsid w:val="009D4AB3"/>
    <w:rsid w:val="00A16CA8"/>
    <w:rsid w:val="00A25F41"/>
    <w:rsid w:val="00A3090D"/>
    <w:rsid w:val="00A510FC"/>
    <w:rsid w:val="00AF140D"/>
    <w:rsid w:val="00AF7569"/>
    <w:rsid w:val="00B2528E"/>
    <w:rsid w:val="00BA3B34"/>
    <w:rsid w:val="00BE38D5"/>
    <w:rsid w:val="00C24E46"/>
    <w:rsid w:val="00C97BF0"/>
    <w:rsid w:val="00CE01CF"/>
    <w:rsid w:val="00D36A86"/>
    <w:rsid w:val="00E266E6"/>
    <w:rsid w:val="00E42678"/>
    <w:rsid w:val="00E45A56"/>
    <w:rsid w:val="00E77439"/>
    <w:rsid w:val="00EE5051"/>
    <w:rsid w:val="00EF1AC9"/>
    <w:rsid w:val="00F17533"/>
    <w:rsid w:val="00F8670D"/>
    <w:rsid w:val="012B79BA"/>
    <w:rsid w:val="014E009D"/>
    <w:rsid w:val="016E3470"/>
    <w:rsid w:val="018216C8"/>
    <w:rsid w:val="01D00545"/>
    <w:rsid w:val="01E0496E"/>
    <w:rsid w:val="01E079C3"/>
    <w:rsid w:val="022F6064"/>
    <w:rsid w:val="026D29F2"/>
    <w:rsid w:val="02876A39"/>
    <w:rsid w:val="02CA26F8"/>
    <w:rsid w:val="03031F6F"/>
    <w:rsid w:val="03203C1C"/>
    <w:rsid w:val="03A75354"/>
    <w:rsid w:val="03FA6BBC"/>
    <w:rsid w:val="041F7409"/>
    <w:rsid w:val="04393DD7"/>
    <w:rsid w:val="043E3B9D"/>
    <w:rsid w:val="04780F30"/>
    <w:rsid w:val="04BF5DF7"/>
    <w:rsid w:val="05071F6F"/>
    <w:rsid w:val="05520EF1"/>
    <w:rsid w:val="059E72FC"/>
    <w:rsid w:val="05DF36C6"/>
    <w:rsid w:val="062F5E79"/>
    <w:rsid w:val="065813EC"/>
    <w:rsid w:val="06B3500E"/>
    <w:rsid w:val="06BE2864"/>
    <w:rsid w:val="06CF6CCA"/>
    <w:rsid w:val="06E137B9"/>
    <w:rsid w:val="0705791D"/>
    <w:rsid w:val="073721C8"/>
    <w:rsid w:val="07702802"/>
    <w:rsid w:val="077449CD"/>
    <w:rsid w:val="07E7484F"/>
    <w:rsid w:val="083F53ED"/>
    <w:rsid w:val="08653DC5"/>
    <w:rsid w:val="08733F95"/>
    <w:rsid w:val="087F4217"/>
    <w:rsid w:val="095B38E4"/>
    <w:rsid w:val="096A476F"/>
    <w:rsid w:val="096E4F31"/>
    <w:rsid w:val="09886C49"/>
    <w:rsid w:val="09B47CF3"/>
    <w:rsid w:val="09C5288D"/>
    <w:rsid w:val="09DD5264"/>
    <w:rsid w:val="09F53004"/>
    <w:rsid w:val="0A1B4542"/>
    <w:rsid w:val="0A305021"/>
    <w:rsid w:val="0A652302"/>
    <w:rsid w:val="0AA52A4F"/>
    <w:rsid w:val="0AD13CE4"/>
    <w:rsid w:val="0AE616F8"/>
    <w:rsid w:val="0B370BA1"/>
    <w:rsid w:val="0B662E8E"/>
    <w:rsid w:val="0B9F13CE"/>
    <w:rsid w:val="0BBB1382"/>
    <w:rsid w:val="0BBD7F2F"/>
    <w:rsid w:val="0BBF2601"/>
    <w:rsid w:val="0BE841B0"/>
    <w:rsid w:val="0C910717"/>
    <w:rsid w:val="0CD300D3"/>
    <w:rsid w:val="0CD928F8"/>
    <w:rsid w:val="0CEA0D43"/>
    <w:rsid w:val="0D180B0A"/>
    <w:rsid w:val="0D2076EC"/>
    <w:rsid w:val="0DC237BF"/>
    <w:rsid w:val="0E462BDD"/>
    <w:rsid w:val="0E473625"/>
    <w:rsid w:val="0ECD5767"/>
    <w:rsid w:val="0F105360"/>
    <w:rsid w:val="0F4D05AA"/>
    <w:rsid w:val="0F863E32"/>
    <w:rsid w:val="0FA10C7C"/>
    <w:rsid w:val="0FB60355"/>
    <w:rsid w:val="10123C2F"/>
    <w:rsid w:val="10867626"/>
    <w:rsid w:val="109C093A"/>
    <w:rsid w:val="10B402DF"/>
    <w:rsid w:val="10C96231"/>
    <w:rsid w:val="11285CA4"/>
    <w:rsid w:val="112D657C"/>
    <w:rsid w:val="114D6F3B"/>
    <w:rsid w:val="11605AFB"/>
    <w:rsid w:val="117C53B6"/>
    <w:rsid w:val="11F50DC4"/>
    <w:rsid w:val="11F6474C"/>
    <w:rsid w:val="12202BB9"/>
    <w:rsid w:val="12555984"/>
    <w:rsid w:val="128439E1"/>
    <w:rsid w:val="128E319F"/>
    <w:rsid w:val="12FB083F"/>
    <w:rsid w:val="13022169"/>
    <w:rsid w:val="135332DE"/>
    <w:rsid w:val="13CA6BF1"/>
    <w:rsid w:val="13D2427C"/>
    <w:rsid w:val="13ED2AA6"/>
    <w:rsid w:val="13FF2CEE"/>
    <w:rsid w:val="142B7B90"/>
    <w:rsid w:val="143571A6"/>
    <w:rsid w:val="143B58CB"/>
    <w:rsid w:val="144F0E90"/>
    <w:rsid w:val="148C215D"/>
    <w:rsid w:val="150065FC"/>
    <w:rsid w:val="15141FAC"/>
    <w:rsid w:val="15225CCF"/>
    <w:rsid w:val="152530B3"/>
    <w:rsid w:val="154B737A"/>
    <w:rsid w:val="1578274C"/>
    <w:rsid w:val="158606B3"/>
    <w:rsid w:val="159819B8"/>
    <w:rsid w:val="15987905"/>
    <w:rsid w:val="15C617F3"/>
    <w:rsid w:val="16167191"/>
    <w:rsid w:val="16430BAA"/>
    <w:rsid w:val="16557C1B"/>
    <w:rsid w:val="16D2549A"/>
    <w:rsid w:val="16F81B86"/>
    <w:rsid w:val="17861648"/>
    <w:rsid w:val="17864ABB"/>
    <w:rsid w:val="182E40E9"/>
    <w:rsid w:val="183A1FA1"/>
    <w:rsid w:val="183D6E77"/>
    <w:rsid w:val="185205B9"/>
    <w:rsid w:val="18625BD8"/>
    <w:rsid w:val="18767863"/>
    <w:rsid w:val="18CB0167"/>
    <w:rsid w:val="19230EC3"/>
    <w:rsid w:val="194F3DE9"/>
    <w:rsid w:val="19620BED"/>
    <w:rsid w:val="198B444E"/>
    <w:rsid w:val="199C7B56"/>
    <w:rsid w:val="19A9718B"/>
    <w:rsid w:val="19BB423A"/>
    <w:rsid w:val="19CC05C0"/>
    <w:rsid w:val="19E84F91"/>
    <w:rsid w:val="19EA72B1"/>
    <w:rsid w:val="19EC5DCF"/>
    <w:rsid w:val="1A6E7DF9"/>
    <w:rsid w:val="1A7473CF"/>
    <w:rsid w:val="1AAC726F"/>
    <w:rsid w:val="1AC95ED3"/>
    <w:rsid w:val="1B0C40A3"/>
    <w:rsid w:val="1B443121"/>
    <w:rsid w:val="1B4A2056"/>
    <w:rsid w:val="1B5B012A"/>
    <w:rsid w:val="1B6E2686"/>
    <w:rsid w:val="1B833F44"/>
    <w:rsid w:val="1B923DFF"/>
    <w:rsid w:val="1BC03430"/>
    <w:rsid w:val="1BEF4B24"/>
    <w:rsid w:val="1C050577"/>
    <w:rsid w:val="1C444AE2"/>
    <w:rsid w:val="1C802EFB"/>
    <w:rsid w:val="1D1949AC"/>
    <w:rsid w:val="1D277A07"/>
    <w:rsid w:val="1D4B66F4"/>
    <w:rsid w:val="1D551057"/>
    <w:rsid w:val="1D5D4142"/>
    <w:rsid w:val="1D8C2F2E"/>
    <w:rsid w:val="1D9C50D2"/>
    <w:rsid w:val="1E7905CD"/>
    <w:rsid w:val="1E8C02F3"/>
    <w:rsid w:val="1EA1507B"/>
    <w:rsid w:val="1EAE2C46"/>
    <w:rsid w:val="1EDC77E8"/>
    <w:rsid w:val="1EE61384"/>
    <w:rsid w:val="1F0E390D"/>
    <w:rsid w:val="1F4C349D"/>
    <w:rsid w:val="1F5851DA"/>
    <w:rsid w:val="1F7C75C8"/>
    <w:rsid w:val="1FB61351"/>
    <w:rsid w:val="1FC37431"/>
    <w:rsid w:val="1FF653D8"/>
    <w:rsid w:val="20243F14"/>
    <w:rsid w:val="21382BBB"/>
    <w:rsid w:val="214642BC"/>
    <w:rsid w:val="214747A5"/>
    <w:rsid w:val="217653F5"/>
    <w:rsid w:val="220147B8"/>
    <w:rsid w:val="220F3DA6"/>
    <w:rsid w:val="226315BF"/>
    <w:rsid w:val="22B1163F"/>
    <w:rsid w:val="231C01C6"/>
    <w:rsid w:val="2371149F"/>
    <w:rsid w:val="23804CFC"/>
    <w:rsid w:val="23F376CB"/>
    <w:rsid w:val="243D4B21"/>
    <w:rsid w:val="24515D40"/>
    <w:rsid w:val="24663E83"/>
    <w:rsid w:val="24890BBE"/>
    <w:rsid w:val="24970FDF"/>
    <w:rsid w:val="25035DAB"/>
    <w:rsid w:val="25453FE8"/>
    <w:rsid w:val="25625CF7"/>
    <w:rsid w:val="256C000A"/>
    <w:rsid w:val="26100AFE"/>
    <w:rsid w:val="26341BE2"/>
    <w:rsid w:val="2648239A"/>
    <w:rsid w:val="26CB5E51"/>
    <w:rsid w:val="26F766C7"/>
    <w:rsid w:val="26FB2BFA"/>
    <w:rsid w:val="27527593"/>
    <w:rsid w:val="27635C00"/>
    <w:rsid w:val="27832F5F"/>
    <w:rsid w:val="27B35D1B"/>
    <w:rsid w:val="28444F50"/>
    <w:rsid w:val="28F219C0"/>
    <w:rsid w:val="28F80F8A"/>
    <w:rsid w:val="29892769"/>
    <w:rsid w:val="29AD00B2"/>
    <w:rsid w:val="29B46096"/>
    <w:rsid w:val="29D75691"/>
    <w:rsid w:val="29DA0FD0"/>
    <w:rsid w:val="29E17E4A"/>
    <w:rsid w:val="29E66265"/>
    <w:rsid w:val="29E84BD1"/>
    <w:rsid w:val="2A295DDD"/>
    <w:rsid w:val="2A2C27EA"/>
    <w:rsid w:val="2A3C6D97"/>
    <w:rsid w:val="2A967F0A"/>
    <w:rsid w:val="2AE13DE6"/>
    <w:rsid w:val="2B025E91"/>
    <w:rsid w:val="2B1200EF"/>
    <w:rsid w:val="2B7815F1"/>
    <w:rsid w:val="2B8C23E2"/>
    <w:rsid w:val="2C1D1888"/>
    <w:rsid w:val="2C435B3C"/>
    <w:rsid w:val="2C695D26"/>
    <w:rsid w:val="2C7843AC"/>
    <w:rsid w:val="2CBA0ECC"/>
    <w:rsid w:val="2CC11F47"/>
    <w:rsid w:val="2CC64C40"/>
    <w:rsid w:val="2CDA6E3F"/>
    <w:rsid w:val="2D01098A"/>
    <w:rsid w:val="2D600E57"/>
    <w:rsid w:val="2DBD46C8"/>
    <w:rsid w:val="2DE65F77"/>
    <w:rsid w:val="2E003D15"/>
    <w:rsid w:val="2E125F29"/>
    <w:rsid w:val="2E2D0BE9"/>
    <w:rsid w:val="2E790BAC"/>
    <w:rsid w:val="2E8E5E48"/>
    <w:rsid w:val="2EB40A48"/>
    <w:rsid w:val="2EC726B6"/>
    <w:rsid w:val="2EE21858"/>
    <w:rsid w:val="2F1E251C"/>
    <w:rsid w:val="2F4669C6"/>
    <w:rsid w:val="2F5512E4"/>
    <w:rsid w:val="2F9E356C"/>
    <w:rsid w:val="30563181"/>
    <w:rsid w:val="308E368C"/>
    <w:rsid w:val="30B41073"/>
    <w:rsid w:val="30C54B40"/>
    <w:rsid w:val="30C6155D"/>
    <w:rsid w:val="312C0FAD"/>
    <w:rsid w:val="31932073"/>
    <w:rsid w:val="31C77442"/>
    <w:rsid w:val="31E575C8"/>
    <w:rsid w:val="32065F7A"/>
    <w:rsid w:val="32401148"/>
    <w:rsid w:val="32473DD5"/>
    <w:rsid w:val="32923E5C"/>
    <w:rsid w:val="32D22561"/>
    <w:rsid w:val="33126048"/>
    <w:rsid w:val="333C36CA"/>
    <w:rsid w:val="337949EF"/>
    <w:rsid w:val="33A40846"/>
    <w:rsid w:val="33B347EB"/>
    <w:rsid w:val="33CC7F1A"/>
    <w:rsid w:val="33EE7711"/>
    <w:rsid w:val="34440662"/>
    <w:rsid w:val="345E09C7"/>
    <w:rsid w:val="346E65E5"/>
    <w:rsid w:val="34C868B4"/>
    <w:rsid w:val="34CF2F24"/>
    <w:rsid w:val="34EE752C"/>
    <w:rsid w:val="35334FE1"/>
    <w:rsid w:val="35721A36"/>
    <w:rsid w:val="36201BEE"/>
    <w:rsid w:val="3634699C"/>
    <w:rsid w:val="365708AA"/>
    <w:rsid w:val="370706F0"/>
    <w:rsid w:val="374D69D7"/>
    <w:rsid w:val="37B16E2C"/>
    <w:rsid w:val="37C95E80"/>
    <w:rsid w:val="37E563B5"/>
    <w:rsid w:val="381E4EF7"/>
    <w:rsid w:val="381F7168"/>
    <w:rsid w:val="382A1AF0"/>
    <w:rsid w:val="3859736F"/>
    <w:rsid w:val="39314CA8"/>
    <w:rsid w:val="39584D72"/>
    <w:rsid w:val="39A41818"/>
    <w:rsid w:val="39E8697E"/>
    <w:rsid w:val="39F36A7E"/>
    <w:rsid w:val="3A7329E2"/>
    <w:rsid w:val="3AB62841"/>
    <w:rsid w:val="3AE846CD"/>
    <w:rsid w:val="3B173644"/>
    <w:rsid w:val="3BD9624A"/>
    <w:rsid w:val="3C042CA1"/>
    <w:rsid w:val="3C0E16CD"/>
    <w:rsid w:val="3C1E3051"/>
    <w:rsid w:val="3C4E0A4D"/>
    <w:rsid w:val="3C506219"/>
    <w:rsid w:val="3C512E87"/>
    <w:rsid w:val="3C536FB4"/>
    <w:rsid w:val="3C735D59"/>
    <w:rsid w:val="3CE01964"/>
    <w:rsid w:val="3D347435"/>
    <w:rsid w:val="3D552591"/>
    <w:rsid w:val="3D55261C"/>
    <w:rsid w:val="3D916C73"/>
    <w:rsid w:val="3D9D4A7A"/>
    <w:rsid w:val="3E733FCE"/>
    <w:rsid w:val="3ED3391A"/>
    <w:rsid w:val="3F0218C6"/>
    <w:rsid w:val="3F3222FE"/>
    <w:rsid w:val="3F5F6CFE"/>
    <w:rsid w:val="3F885AF0"/>
    <w:rsid w:val="3FB83486"/>
    <w:rsid w:val="3FC93A72"/>
    <w:rsid w:val="3FD379E1"/>
    <w:rsid w:val="3FDC0929"/>
    <w:rsid w:val="3FFB730F"/>
    <w:rsid w:val="40426BAF"/>
    <w:rsid w:val="405E57B3"/>
    <w:rsid w:val="40E21DC7"/>
    <w:rsid w:val="40E96E95"/>
    <w:rsid w:val="41662FF7"/>
    <w:rsid w:val="41AF5888"/>
    <w:rsid w:val="41DA4C09"/>
    <w:rsid w:val="4208688C"/>
    <w:rsid w:val="4229366F"/>
    <w:rsid w:val="42483265"/>
    <w:rsid w:val="426013B4"/>
    <w:rsid w:val="427F445A"/>
    <w:rsid w:val="429B0002"/>
    <w:rsid w:val="43243DAF"/>
    <w:rsid w:val="436415CD"/>
    <w:rsid w:val="43A25548"/>
    <w:rsid w:val="43A57F40"/>
    <w:rsid w:val="43D93755"/>
    <w:rsid w:val="44253DDE"/>
    <w:rsid w:val="44467E90"/>
    <w:rsid w:val="444E1CE5"/>
    <w:rsid w:val="444F2135"/>
    <w:rsid w:val="446B2C1E"/>
    <w:rsid w:val="4481088F"/>
    <w:rsid w:val="448C2C15"/>
    <w:rsid w:val="449F1BDA"/>
    <w:rsid w:val="44BA2E6A"/>
    <w:rsid w:val="45041872"/>
    <w:rsid w:val="45176F69"/>
    <w:rsid w:val="45655C9E"/>
    <w:rsid w:val="456D0CC1"/>
    <w:rsid w:val="457920AE"/>
    <w:rsid w:val="45D04C4D"/>
    <w:rsid w:val="467341A1"/>
    <w:rsid w:val="46774D20"/>
    <w:rsid w:val="46797202"/>
    <w:rsid w:val="46993A79"/>
    <w:rsid w:val="469D32A4"/>
    <w:rsid w:val="46AA4C2B"/>
    <w:rsid w:val="46E32EE1"/>
    <w:rsid w:val="46FB516C"/>
    <w:rsid w:val="474B7E6B"/>
    <w:rsid w:val="479876E0"/>
    <w:rsid w:val="47995CEA"/>
    <w:rsid w:val="47C63559"/>
    <w:rsid w:val="48115E37"/>
    <w:rsid w:val="481F1FDB"/>
    <w:rsid w:val="4846221C"/>
    <w:rsid w:val="48957A84"/>
    <w:rsid w:val="489A2AD3"/>
    <w:rsid w:val="48AD04C3"/>
    <w:rsid w:val="49446932"/>
    <w:rsid w:val="49AA6DB2"/>
    <w:rsid w:val="49BA0FB4"/>
    <w:rsid w:val="4A134A78"/>
    <w:rsid w:val="4A15712E"/>
    <w:rsid w:val="4A2F092A"/>
    <w:rsid w:val="4AC730A8"/>
    <w:rsid w:val="4B0921BA"/>
    <w:rsid w:val="4B7A6F40"/>
    <w:rsid w:val="4B822053"/>
    <w:rsid w:val="4C020561"/>
    <w:rsid w:val="4C1236F9"/>
    <w:rsid w:val="4C543CAD"/>
    <w:rsid w:val="4C5F7430"/>
    <w:rsid w:val="4CBD28D9"/>
    <w:rsid w:val="4D0A3BF7"/>
    <w:rsid w:val="4D6C10C3"/>
    <w:rsid w:val="4DAD5BFC"/>
    <w:rsid w:val="4DC636F8"/>
    <w:rsid w:val="4E001629"/>
    <w:rsid w:val="4E85279A"/>
    <w:rsid w:val="4E901CEA"/>
    <w:rsid w:val="4EBB416E"/>
    <w:rsid w:val="4EF85121"/>
    <w:rsid w:val="4F22176C"/>
    <w:rsid w:val="4F994D5E"/>
    <w:rsid w:val="509521A8"/>
    <w:rsid w:val="50C936C4"/>
    <w:rsid w:val="514F7590"/>
    <w:rsid w:val="5153544B"/>
    <w:rsid w:val="519F4ED2"/>
    <w:rsid w:val="52030A09"/>
    <w:rsid w:val="52B76963"/>
    <w:rsid w:val="534413BD"/>
    <w:rsid w:val="53BC2273"/>
    <w:rsid w:val="53E71292"/>
    <w:rsid w:val="54395B59"/>
    <w:rsid w:val="5450089C"/>
    <w:rsid w:val="545F3E30"/>
    <w:rsid w:val="54A8292E"/>
    <w:rsid w:val="54A84067"/>
    <w:rsid w:val="54ED5AEF"/>
    <w:rsid w:val="54FC1400"/>
    <w:rsid w:val="55136CB3"/>
    <w:rsid w:val="555445E4"/>
    <w:rsid w:val="55DB76B8"/>
    <w:rsid w:val="55F67E87"/>
    <w:rsid w:val="563902AD"/>
    <w:rsid w:val="568772C1"/>
    <w:rsid w:val="569632C1"/>
    <w:rsid w:val="57313938"/>
    <w:rsid w:val="57771131"/>
    <w:rsid w:val="57DA422A"/>
    <w:rsid w:val="580B5A86"/>
    <w:rsid w:val="586F75E7"/>
    <w:rsid w:val="589D6C24"/>
    <w:rsid w:val="58B63DBD"/>
    <w:rsid w:val="58B920C1"/>
    <w:rsid w:val="58E26D8F"/>
    <w:rsid w:val="59290CAA"/>
    <w:rsid w:val="592F638E"/>
    <w:rsid w:val="593E609C"/>
    <w:rsid w:val="59701879"/>
    <w:rsid w:val="59850C36"/>
    <w:rsid w:val="59A66E97"/>
    <w:rsid w:val="59C3041A"/>
    <w:rsid w:val="59D3014D"/>
    <w:rsid w:val="59D41F88"/>
    <w:rsid w:val="5A1617CC"/>
    <w:rsid w:val="5A44735D"/>
    <w:rsid w:val="5AFB5DC7"/>
    <w:rsid w:val="5B00458A"/>
    <w:rsid w:val="5B016C65"/>
    <w:rsid w:val="5B01792B"/>
    <w:rsid w:val="5B160566"/>
    <w:rsid w:val="5B5149AE"/>
    <w:rsid w:val="5B9701A8"/>
    <w:rsid w:val="5C2D49D3"/>
    <w:rsid w:val="5C611DA2"/>
    <w:rsid w:val="5CAD6757"/>
    <w:rsid w:val="5CBE0ABE"/>
    <w:rsid w:val="5CC0159F"/>
    <w:rsid w:val="5CCA0AC4"/>
    <w:rsid w:val="5D277803"/>
    <w:rsid w:val="5D2807F2"/>
    <w:rsid w:val="5D911B6D"/>
    <w:rsid w:val="5E014EF5"/>
    <w:rsid w:val="5E0711C1"/>
    <w:rsid w:val="5E477A24"/>
    <w:rsid w:val="5E916794"/>
    <w:rsid w:val="5EF12477"/>
    <w:rsid w:val="5EF23996"/>
    <w:rsid w:val="5F180680"/>
    <w:rsid w:val="5F1E761B"/>
    <w:rsid w:val="5F7251DA"/>
    <w:rsid w:val="60240B1B"/>
    <w:rsid w:val="60455CC1"/>
    <w:rsid w:val="60FE7E83"/>
    <w:rsid w:val="61664977"/>
    <w:rsid w:val="6180770D"/>
    <w:rsid w:val="623C5706"/>
    <w:rsid w:val="625A3CB2"/>
    <w:rsid w:val="626C6F4B"/>
    <w:rsid w:val="626F1E1E"/>
    <w:rsid w:val="628D0B7A"/>
    <w:rsid w:val="62B14D95"/>
    <w:rsid w:val="62D147E9"/>
    <w:rsid w:val="62EC05EA"/>
    <w:rsid w:val="63226F51"/>
    <w:rsid w:val="632F6E66"/>
    <w:rsid w:val="635E6245"/>
    <w:rsid w:val="638A6CBC"/>
    <w:rsid w:val="63C336F7"/>
    <w:rsid w:val="6407701A"/>
    <w:rsid w:val="64446484"/>
    <w:rsid w:val="64BD478A"/>
    <w:rsid w:val="64E73EC4"/>
    <w:rsid w:val="65213944"/>
    <w:rsid w:val="654900D8"/>
    <w:rsid w:val="65704AFB"/>
    <w:rsid w:val="65A3502B"/>
    <w:rsid w:val="65E64F9B"/>
    <w:rsid w:val="66912F4D"/>
    <w:rsid w:val="66C700A7"/>
    <w:rsid w:val="674B5759"/>
    <w:rsid w:val="675F7A2A"/>
    <w:rsid w:val="67E30EFD"/>
    <w:rsid w:val="67FD6D5F"/>
    <w:rsid w:val="68B04F71"/>
    <w:rsid w:val="690773E6"/>
    <w:rsid w:val="69A65042"/>
    <w:rsid w:val="69F26218"/>
    <w:rsid w:val="6A912916"/>
    <w:rsid w:val="6AB27C0D"/>
    <w:rsid w:val="6AEE45F9"/>
    <w:rsid w:val="6AF7700F"/>
    <w:rsid w:val="6B0D22BD"/>
    <w:rsid w:val="6B6B6F03"/>
    <w:rsid w:val="6B6E23C7"/>
    <w:rsid w:val="6B7700D7"/>
    <w:rsid w:val="6BAA7117"/>
    <w:rsid w:val="6BAD2BDF"/>
    <w:rsid w:val="6BE656A9"/>
    <w:rsid w:val="6C051409"/>
    <w:rsid w:val="6C0568AC"/>
    <w:rsid w:val="6C1329FD"/>
    <w:rsid w:val="6C2303CC"/>
    <w:rsid w:val="6C523C86"/>
    <w:rsid w:val="6CE318EA"/>
    <w:rsid w:val="6D100E14"/>
    <w:rsid w:val="6D3620DB"/>
    <w:rsid w:val="6DD7679E"/>
    <w:rsid w:val="6E334787"/>
    <w:rsid w:val="6E5420A3"/>
    <w:rsid w:val="6E5D304B"/>
    <w:rsid w:val="6E70647B"/>
    <w:rsid w:val="6E822F11"/>
    <w:rsid w:val="6E9E175F"/>
    <w:rsid w:val="6EC87F4A"/>
    <w:rsid w:val="6ECA633E"/>
    <w:rsid w:val="6F375398"/>
    <w:rsid w:val="6F506A96"/>
    <w:rsid w:val="6F8531EB"/>
    <w:rsid w:val="6FA61EA8"/>
    <w:rsid w:val="6FD30ED0"/>
    <w:rsid w:val="6FEB5156"/>
    <w:rsid w:val="6FEE575B"/>
    <w:rsid w:val="70406D34"/>
    <w:rsid w:val="713F76DD"/>
    <w:rsid w:val="717F44E7"/>
    <w:rsid w:val="71A64313"/>
    <w:rsid w:val="71C01533"/>
    <w:rsid w:val="71E91E86"/>
    <w:rsid w:val="72EF29E2"/>
    <w:rsid w:val="72FB3611"/>
    <w:rsid w:val="73245D97"/>
    <w:rsid w:val="7343512E"/>
    <w:rsid w:val="738245DC"/>
    <w:rsid w:val="73CA4D2F"/>
    <w:rsid w:val="73CC2029"/>
    <w:rsid w:val="73E8674B"/>
    <w:rsid w:val="7449063E"/>
    <w:rsid w:val="746C61C0"/>
    <w:rsid w:val="75023D29"/>
    <w:rsid w:val="753B6252"/>
    <w:rsid w:val="75452BF7"/>
    <w:rsid w:val="754968E8"/>
    <w:rsid w:val="75675B58"/>
    <w:rsid w:val="757C1AD9"/>
    <w:rsid w:val="757C4BD5"/>
    <w:rsid w:val="75D21A6C"/>
    <w:rsid w:val="76087E1C"/>
    <w:rsid w:val="76092797"/>
    <w:rsid w:val="761928FC"/>
    <w:rsid w:val="762247CF"/>
    <w:rsid w:val="765B78FC"/>
    <w:rsid w:val="76D10625"/>
    <w:rsid w:val="76FA64FC"/>
    <w:rsid w:val="77035822"/>
    <w:rsid w:val="77233DBE"/>
    <w:rsid w:val="77661D32"/>
    <w:rsid w:val="777F31F4"/>
    <w:rsid w:val="779946A9"/>
    <w:rsid w:val="77B1756B"/>
    <w:rsid w:val="77DE22A5"/>
    <w:rsid w:val="77ED0A6E"/>
    <w:rsid w:val="77F62236"/>
    <w:rsid w:val="77FE20B9"/>
    <w:rsid w:val="78101D21"/>
    <w:rsid w:val="781E2ECF"/>
    <w:rsid w:val="78346F9A"/>
    <w:rsid w:val="7870463D"/>
    <w:rsid w:val="788B7AE9"/>
    <w:rsid w:val="78A1151F"/>
    <w:rsid w:val="79026E37"/>
    <w:rsid w:val="79172BB8"/>
    <w:rsid w:val="79244EA6"/>
    <w:rsid w:val="7970702F"/>
    <w:rsid w:val="79A808DF"/>
    <w:rsid w:val="79B62F73"/>
    <w:rsid w:val="79BA29EB"/>
    <w:rsid w:val="79CF136C"/>
    <w:rsid w:val="79CF5FFE"/>
    <w:rsid w:val="7A0B67D2"/>
    <w:rsid w:val="7A21073F"/>
    <w:rsid w:val="7A3D2941"/>
    <w:rsid w:val="7A6938E4"/>
    <w:rsid w:val="7A8E324F"/>
    <w:rsid w:val="7A990038"/>
    <w:rsid w:val="7AA23F60"/>
    <w:rsid w:val="7ABB5C0F"/>
    <w:rsid w:val="7AC00E6A"/>
    <w:rsid w:val="7B447FD9"/>
    <w:rsid w:val="7B78676E"/>
    <w:rsid w:val="7B8465A7"/>
    <w:rsid w:val="7BA33A87"/>
    <w:rsid w:val="7BAF12BC"/>
    <w:rsid w:val="7BD53B47"/>
    <w:rsid w:val="7C1C1D07"/>
    <w:rsid w:val="7C2051E2"/>
    <w:rsid w:val="7C5808FF"/>
    <w:rsid w:val="7CC42852"/>
    <w:rsid w:val="7CED789F"/>
    <w:rsid w:val="7D0F3934"/>
    <w:rsid w:val="7D2204CB"/>
    <w:rsid w:val="7D284D0E"/>
    <w:rsid w:val="7D5B1B1F"/>
    <w:rsid w:val="7DF21B3E"/>
    <w:rsid w:val="7E51072C"/>
    <w:rsid w:val="7E6A7EAB"/>
    <w:rsid w:val="7EC16330"/>
    <w:rsid w:val="7EEE4535"/>
    <w:rsid w:val="7F2C31DE"/>
    <w:rsid w:val="7F5063ED"/>
    <w:rsid w:val="7F6A2B42"/>
    <w:rsid w:val="7F86577E"/>
    <w:rsid w:val="7FAB366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B0B6274"/>
  <w15:docId w15:val="{36AE922A-E269-41CD-B0B5-9B31301CF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paragraph" w:styleId="1">
    <w:name w:val="heading 1"/>
    <w:basedOn w:val="a"/>
    <w:next w:val="a"/>
    <w:link w:val="10"/>
    <w:qFormat/>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qFormat/>
    <w:pPr>
      <w:tabs>
        <w:tab w:val="center" w:pos="4153"/>
        <w:tab w:val="right" w:pos="8306"/>
      </w:tabs>
      <w:snapToGrid w:val="0"/>
      <w:jc w:val="left"/>
    </w:pPr>
    <w:rPr>
      <w:sz w:val="18"/>
      <w:szCs w:val="18"/>
    </w:rPr>
  </w:style>
  <w:style w:type="paragraph" w:styleId="a5">
    <w:name w:val="header"/>
    <w:basedOn w:val="a"/>
    <w:link w:val="a6"/>
    <w:qFormat/>
    <w:pPr>
      <w:tabs>
        <w:tab w:val="center" w:pos="4153"/>
        <w:tab w:val="right" w:pos="8306"/>
      </w:tabs>
      <w:snapToGrid w:val="0"/>
      <w:jc w:val="center"/>
    </w:pPr>
    <w:rPr>
      <w:sz w:val="18"/>
      <w:szCs w:val="18"/>
    </w:rPr>
  </w:style>
  <w:style w:type="paragraph" w:styleId="a7">
    <w:name w:val="Normal (Web)"/>
    <w:basedOn w:val="a"/>
    <w:qFormat/>
    <w:pPr>
      <w:spacing w:beforeAutospacing="1" w:afterAutospacing="1"/>
      <w:jc w:val="left"/>
    </w:pPr>
    <w:rPr>
      <w:rFonts w:cs="Times New Roman"/>
      <w:kern w:val="0"/>
      <w:sz w:val="24"/>
      <w:szCs w:val="22"/>
    </w:rPr>
  </w:style>
  <w:style w:type="character" w:customStyle="1" w:styleId="a6">
    <w:name w:val="页眉 字符"/>
    <w:basedOn w:val="a0"/>
    <w:link w:val="a5"/>
    <w:qFormat/>
    <w:rPr>
      <w:kern w:val="2"/>
      <w:sz w:val="18"/>
      <w:szCs w:val="18"/>
    </w:rPr>
  </w:style>
  <w:style w:type="character" w:customStyle="1" w:styleId="a4">
    <w:name w:val="页脚 字符"/>
    <w:basedOn w:val="a0"/>
    <w:link w:val="a3"/>
    <w:qFormat/>
    <w:rPr>
      <w:kern w:val="2"/>
      <w:sz w:val="18"/>
      <w:szCs w:val="18"/>
    </w:rPr>
  </w:style>
  <w:style w:type="character" w:customStyle="1" w:styleId="10">
    <w:name w:val="标题 1 字符"/>
    <w:basedOn w:val="a0"/>
    <w:link w:val="1"/>
    <w:qFormat/>
    <w:rPr>
      <w:b/>
      <w:bCs/>
      <w:kern w:val="44"/>
      <w:sz w:val="44"/>
      <w:szCs w:val="44"/>
    </w:rPr>
  </w:style>
  <w:style w:type="paragraph" w:customStyle="1" w:styleId="TableText">
    <w:name w:val="Table Text"/>
    <w:basedOn w:val="a"/>
    <w:semiHidden/>
    <w:qFormat/>
    <w:pPr>
      <w:widowControl/>
      <w:kinsoku w:val="0"/>
      <w:autoSpaceDE w:val="0"/>
      <w:autoSpaceDN w:val="0"/>
      <w:adjustRightInd w:val="0"/>
      <w:snapToGrid w:val="0"/>
      <w:jc w:val="left"/>
      <w:textAlignment w:val="baseline"/>
    </w:pPr>
    <w:rPr>
      <w:rFonts w:ascii="宋体" w:eastAsia="宋体" w:hAnsi="宋体" w:cs="宋体"/>
      <w:snapToGrid w:val="0"/>
      <w:color w:val="000000"/>
      <w:kern w:val="0"/>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microsoft.com/office/2007/relationships/hdphoto"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2807</Words>
  <Characters>2892</Characters>
  <Application>Microsoft Office Word</Application>
  <DocSecurity>0</DocSecurity>
  <Lines>152</Lines>
  <Paragraphs>158</Paragraphs>
  <ScaleCrop>false</ScaleCrop>
  <Company/>
  <LinksUpToDate>false</LinksUpToDate>
  <CharactersWithSpaces>5541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11044</dc:creator>
  <cp:lastModifiedBy>乐 常</cp:lastModifiedBy>
  <cp:revision>2</cp:revision>
  <dcterms:created xsi:type="dcterms:W3CDTF">2025-07-01T13:59:00Z</dcterms:created>
  <dcterms:modified xsi:type="dcterms:W3CDTF">2025-07-01T13:59:00Z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9D1F182D4384448EBC1448F056AB61AB_13</vt:lpwstr>
  </property>
  <property fmtid="{D5CDD505-2E9C-101B-9397-08002B2CF9AE}" pid="4" name="KSOTemplateDocerSaveRecord">
    <vt:lpwstr>eyJoZGlkIjoiZjFmZWIzNDg2MmIzZjExOTIzMmViNTBmYTMwYTk0ZWYiLCJ1c2VySWQiOiI0MTA1MzU1NjUifQ==</vt:lpwstr>
  </property>
</Properties>
</file>